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4C104" w14:textId="77777777" w:rsidR="00AA01B5" w:rsidRPr="005B0B70" w:rsidRDefault="00AA01B5" w:rsidP="00877A35">
      <w:pPr>
        <w:spacing w:after="0" w:line="240" w:lineRule="auto"/>
        <w:rPr>
          <w:rFonts w:ascii="Cambria" w:eastAsia="Times New Roman" w:hAnsi="Cambria" w:cs="Times New Roman"/>
          <w:sz w:val="16"/>
          <w:szCs w:val="20"/>
          <w:lang w:eastAsia="pl-PL"/>
        </w:rPr>
      </w:pPr>
    </w:p>
    <w:p w14:paraId="141D95FD" w14:textId="7103C728" w:rsidR="00877A35" w:rsidRPr="005B0B70" w:rsidRDefault="00877A35" w:rsidP="00877A35">
      <w:pPr>
        <w:spacing w:after="0" w:line="240" w:lineRule="auto"/>
        <w:jc w:val="center"/>
        <w:outlineLvl w:val="0"/>
        <w:rPr>
          <w:rFonts w:ascii="Times New Roman" w:eastAsia="Times New Roman" w:hAnsi="Times New Roman" w:cs="Times New Roman"/>
          <w:sz w:val="20"/>
          <w:szCs w:val="20"/>
          <w:lang w:eastAsia="pl-PL"/>
        </w:rPr>
      </w:pPr>
      <w:r w:rsidRPr="005B0B70">
        <w:rPr>
          <w:rFonts w:ascii="Cambria" w:eastAsia="Times New Roman" w:hAnsi="Cambria" w:cs="Times New Roman"/>
          <w:b/>
          <w:sz w:val="24"/>
          <w:szCs w:val="24"/>
          <w:u w:val="single"/>
          <w:lang w:eastAsia="pl-PL"/>
        </w:rPr>
        <w:t xml:space="preserve">SZCZEGÓŁOWE </w:t>
      </w:r>
      <w:r w:rsidR="00A45EB8" w:rsidRPr="005B0B70">
        <w:rPr>
          <w:rFonts w:ascii="Cambria" w:eastAsia="Times New Roman" w:hAnsi="Cambria" w:cs="Times New Roman"/>
          <w:b/>
          <w:sz w:val="24"/>
          <w:szCs w:val="24"/>
          <w:u w:val="single"/>
          <w:lang w:eastAsia="pl-PL"/>
        </w:rPr>
        <w:t>WYMAGANIA DOTYCZĄCE PRZEDMIOTU ZAMÓWIENIA</w:t>
      </w:r>
    </w:p>
    <w:p w14:paraId="4E0FD517" w14:textId="77777777" w:rsidR="00877A35" w:rsidRPr="005B0B70" w:rsidRDefault="00877A35" w:rsidP="00877A35">
      <w:pPr>
        <w:spacing w:after="0" w:line="240" w:lineRule="auto"/>
        <w:jc w:val="center"/>
        <w:outlineLvl w:val="0"/>
        <w:rPr>
          <w:rFonts w:ascii="Cambria" w:eastAsia="Times New Roman" w:hAnsi="Cambria" w:cs="Times New Roman"/>
          <w:b/>
          <w:sz w:val="24"/>
          <w:szCs w:val="24"/>
          <w:u w:val="single"/>
          <w:lang w:eastAsia="pl-PL"/>
        </w:rPr>
      </w:pPr>
      <w:r w:rsidRPr="005B0B70">
        <w:rPr>
          <w:rFonts w:ascii="Cambria" w:eastAsia="Times New Roman" w:hAnsi="Cambria" w:cs="Times New Roman"/>
          <w:b/>
          <w:sz w:val="24"/>
          <w:szCs w:val="24"/>
          <w:u w:val="single"/>
          <w:lang w:eastAsia="pl-PL"/>
        </w:rPr>
        <w:t>Dotyczy 50 sztuk elektrycznych autobusów przegubowych</w:t>
      </w:r>
    </w:p>
    <w:p w14:paraId="780FDAC9" w14:textId="77777777" w:rsidR="00725FC2" w:rsidRPr="005B0B70" w:rsidRDefault="00725FC2" w:rsidP="00877A35">
      <w:pPr>
        <w:spacing w:after="0" w:line="240" w:lineRule="auto"/>
        <w:jc w:val="center"/>
        <w:outlineLvl w:val="0"/>
        <w:rPr>
          <w:rFonts w:ascii="Cambria" w:eastAsia="Times New Roman" w:hAnsi="Cambria" w:cs="Times New Roman"/>
          <w:sz w:val="24"/>
          <w:szCs w:val="24"/>
          <w:lang w:eastAsia="pl-PL"/>
        </w:rPr>
      </w:pPr>
    </w:p>
    <w:p w14:paraId="506EA673" w14:textId="77777777" w:rsidR="00877A35" w:rsidRPr="005B0B70" w:rsidRDefault="00877A35" w:rsidP="00877A35">
      <w:pPr>
        <w:keepNext/>
        <w:spacing w:after="0" w:line="240" w:lineRule="auto"/>
        <w:jc w:val="both"/>
        <w:outlineLvl w:val="8"/>
        <w:rPr>
          <w:rFonts w:ascii="Cambria" w:eastAsia="Times New Roman" w:hAnsi="Cambria" w:cs="Times New Roman"/>
          <w:b/>
          <w:sz w:val="24"/>
          <w:szCs w:val="24"/>
          <w:u w:val="single"/>
          <w:lang w:eastAsia="pl-PL"/>
        </w:rPr>
      </w:pPr>
      <w:r w:rsidRPr="005B0B70">
        <w:rPr>
          <w:rFonts w:ascii="Cambria" w:eastAsia="Times New Roman" w:hAnsi="Cambria" w:cs="Times New Roman"/>
          <w:b/>
          <w:sz w:val="24"/>
          <w:szCs w:val="24"/>
          <w:u w:val="single"/>
          <w:lang w:eastAsia="pl-PL"/>
        </w:rPr>
        <w:t>I.  Przedmiot zamówienia</w:t>
      </w:r>
    </w:p>
    <w:p w14:paraId="3FF4747A" w14:textId="77777777" w:rsidR="00877A35" w:rsidRPr="005B0B70" w:rsidRDefault="00877A35" w:rsidP="00877A35">
      <w:pPr>
        <w:spacing w:after="0" w:line="240" w:lineRule="auto"/>
        <w:jc w:val="both"/>
        <w:rPr>
          <w:rFonts w:ascii="Times New Roman" w:eastAsia="Times New Roman" w:hAnsi="Times New Roman" w:cs="Times New Roman"/>
          <w:b/>
          <w:strike/>
          <w:sz w:val="24"/>
          <w:szCs w:val="24"/>
          <w:u w:val="single"/>
          <w:lang w:eastAsia="pl-PL"/>
        </w:rPr>
      </w:pPr>
      <w:r w:rsidRPr="005B0B70">
        <w:rPr>
          <w:rFonts w:ascii="Cambria" w:eastAsia="Times New Roman" w:hAnsi="Cambria" w:cs="Times New Roman"/>
          <w:lang w:eastAsia="pl-PL"/>
        </w:rPr>
        <w:t>Dostawa 50 autobusów elektrycznych przegubowych</w:t>
      </w:r>
      <w:r w:rsidRPr="005B0B70">
        <w:rPr>
          <w:rFonts w:ascii="Times New Roman" w:eastAsia="Times New Roman" w:hAnsi="Times New Roman" w:cs="Times New Roman"/>
          <w:sz w:val="23"/>
          <w:szCs w:val="23"/>
          <w:lang w:eastAsia="pl-PL"/>
        </w:rPr>
        <w:t xml:space="preserve"> ładowanych wyłącznie za pomocą gniazda plug-in (dalej jako „High Energy”);</w:t>
      </w:r>
    </w:p>
    <w:p w14:paraId="202538F9" w14:textId="77777777" w:rsidR="00877A35" w:rsidRPr="005B0B70" w:rsidRDefault="00877A35" w:rsidP="00877A35">
      <w:pPr>
        <w:keepNext/>
        <w:spacing w:before="120" w:after="0" w:line="240" w:lineRule="auto"/>
        <w:jc w:val="both"/>
        <w:outlineLvl w:val="8"/>
        <w:rPr>
          <w:rFonts w:ascii="Cambria" w:eastAsia="Times New Roman" w:hAnsi="Cambria" w:cs="Times New Roman"/>
          <w:b/>
          <w:sz w:val="24"/>
          <w:szCs w:val="24"/>
          <w:u w:val="single"/>
          <w:lang w:eastAsia="pl-PL"/>
        </w:rPr>
      </w:pPr>
      <w:r w:rsidRPr="005B0B70">
        <w:rPr>
          <w:rFonts w:ascii="Cambria" w:eastAsia="Times New Roman" w:hAnsi="Cambria" w:cs="Times New Roman"/>
          <w:b/>
          <w:sz w:val="24"/>
          <w:szCs w:val="24"/>
          <w:u w:val="single"/>
          <w:lang w:eastAsia="pl-PL"/>
        </w:rPr>
        <w:t>II.  Wymagania dotyczące spełniania przepisów</w:t>
      </w:r>
    </w:p>
    <w:p w14:paraId="4F077B54" w14:textId="77777777" w:rsidR="00877A35" w:rsidRPr="005B0B70" w:rsidRDefault="00877A35" w:rsidP="00877A35">
      <w:p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szCs w:val="20"/>
          <w:lang w:eastAsia="pl-PL"/>
        </w:rPr>
        <w:t>Oferowane autobusy muszą spełniać wszystkie wymagania określone w Rozporządzeniu Ministra Infrastruktury z dnia 31 grudnia 2002 roku w sprawie warunków technicznych pojazdów oraz zakresu ich niezbędnego wyposażenia (Dz. U. z 2003 r. Nr 32 poz. 262, tekst jednolity Dz. U. z 2016 r. poz. 2022,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w:t>
      </w:r>
      <w:r w:rsidRPr="005B0B70">
        <w:rPr>
          <w:rFonts w:ascii="Cambria" w:eastAsia="Times New Roman" w:hAnsi="Cambria" w:cs="Times New Roman"/>
          <w:lang w:eastAsia="pl-PL"/>
        </w:rPr>
        <w:t xml:space="preserve">. </w:t>
      </w:r>
    </w:p>
    <w:p w14:paraId="6D131B4E" w14:textId="77777777" w:rsidR="00877A35" w:rsidRPr="005B0B70" w:rsidRDefault="00877A35" w:rsidP="00877A35">
      <w:pPr>
        <w:keepNext/>
        <w:tabs>
          <w:tab w:val="num" w:pos="426"/>
        </w:tabs>
        <w:spacing w:before="240" w:after="0" w:line="240" w:lineRule="auto"/>
        <w:jc w:val="both"/>
        <w:outlineLvl w:val="8"/>
        <w:rPr>
          <w:rFonts w:ascii="Cambria" w:eastAsia="Times New Roman" w:hAnsi="Cambria" w:cs="Times New Roman"/>
          <w:b/>
          <w:sz w:val="24"/>
          <w:szCs w:val="20"/>
          <w:u w:val="single"/>
          <w:lang w:eastAsia="pl-PL"/>
        </w:rPr>
      </w:pPr>
      <w:r w:rsidRPr="005B0B70">
        <w:rPr>
          <w:rFonts w:ascii="Cambria" w:eastAsia="Times New Roman" w:hAnsi="Cambria" w:cs="Times New Roman"/>
          <w:b/>
          <w:sz w:val="24"/>
          <w:szCs w:val="20"/>
          <w:u w:val="single"/>
          <w:lang w:eastAsia="pl-PL"/>
        </w:rPr>
        <w:t xml:space="preserve">III.  Wymagania dotyczące parametrów przewozowych autobusów </w:t>
      </w:r>
    </w:p>
    <w:p w14:paraId="110B7EB8" w14:textId="77777777" w:rsidR="00877A35" w:rsidRPr="005B0B70" w:rsidRDefault="00877A35" w:rsidP="00877A35">
      <w:pPr>
        <w:spacing w:after="0" w:line="240" w:lineRule="auto"/>
        <w:rPr>
          <w:rFonts w:ascii="Cambria" w:eastAsia="Times New Roman" w:hAnsi="Cambria" w:cs="Times New Roman"/>
          <w:sz w:val="20"/>
          <w:szCs w:val="20"/>
          <w:lang w:eastAsia="pl-PL"/>
        </w:rPr>
      </w:pPr>
    </w:p>
    <w:tbl>
      <w:tblPr>
        <w:tblW w:w="1020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7371"/>
        <w:gridCol w:w="2340"/>
      </w:tblGrid>
      <w:tr w:rsidR="005B0B70" w:rsidRPr="005B0B70" w14:paraId="085EBEC5" w14:textId="77777777" w:rsidTr="009C2A6C">
        <w:trPr>
          <w:tblHeader/>
        </w:trPr>
        <w:tc>
          <w:tcPr>
            <w:tcW w:w="496" w:type="dxa"/>
            <w:vAlign w:val="center"/>
          </w:tcPr>
          <w:p w14:paraId="0109043B"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lp.</w:t>
            </w:r>
          </w:p>
        </w:tc>
        <w:tc>
          <w:tcPr>
            <w:tcW w:w="7371" w:type="dxa"/>
            <w:vAlign w:val="center"/>
          </w:tcPr>
          <w:p w14:paraId="51F4056D"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cecha, parametr</w:t>
            </w:r>
          </w:p>
        </w:tc>
        <w:tc>
          <w:tcPr>
            <w:tcW w:w="2340" w:type="dxa"/>
            <w:vAlign w:val="center"/>
          </w:tcPr>
          <w:p w14:paraId="19811712"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wielkość</w:t>
            </w:r>
          </w:p>
        </w:tc>
      </w:tr>
      <w:tr w:rsidR="005B0B70" w:rsidRPr="005B0B70" w14:paraId="22D0B3F1" w14:textId="77777777" w:rsidTr="009C2A6C">
        <w:tc>
          <w:tcPr>
            <w:tcW w:w="496" w:type="dxa"/>
            <w:vAlign w:val="center"/>
          </w:tcPr>
          <w:p w14:paraId="35C94C01"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tcPr>
          <w:p w14:paraId="0675A44C" w14:textId="77777777" w:rsidR="00877A35" w:rsidRPr="005B0B70" w:rsidRDefault="00877A35" w:rsidP="00877A35">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minimalna liczba miejsc pasażerskich:</w:t>
            </w:r>
          </w:p>
          <w:p w14:paraId="6A2CBA98" w14:textId="77777777" w:rsidR="00877A35" w:rsidRPr="005B0B70" w:rsidRDefault="00877A35" w:rsidP="00877A35">
            <w:pPr>
              <w:spacing w:after="0" w:line="240" w:lineRule="auto"/>
              <w:jc w:val="right"/>
              <w:rPr>
                <w:rFonts w:ascii="Cambria" w:eastAsia="Times New Roman" w:hAnsi="Cambria" w:cs="Times New Roman"/>
                <w:szCs w:val="20"/>
                <w:lang w:eastAsia="pl-PL"/>
              </w:rPr>
            </w:pPr>
            <w:r w:rsidRPr="005B0B70">
              <w:rPr>
                <w:rFonts w:ascii="Cambria" w:eastAsia="Times New Roman" w:hAnsi="Cambria" w:cs="Times New Roman"/>
                <w:szCs w:val="20"/>
                <w:lang w:eastAsia="pl-PL"/>
              </w:rPr>
              <w:t>siedzących</w:t>
            </w:r>
          </w:p>
          <w:p w14:paraId="50FF41E5"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 tym co najmniej: </w:t>
            </w:r>
          </w:p>
          <w:p w14:paraId="6B8FBE83" w14:textId="1524F7B0" w:rsidR="00877A35" w:rsidRPr="005B0B70" w:rsidRDefault="00877A35" w:rsidP="006A7BFE">
            <w:pPr>
              <w:numPr>
                <w:ilvl w:val="0"/>
                <w:numId w:val="13"/>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4 miejsca siedzące wykonane jako siedzenia specjalne dla pasażerów niepełnosprawnych, spełniające wymagania Załącznika nr 8 do Regulaminu nr 107 EKG ONZ; miejsca te powinny się znajdować w pobliżu drugich drzwi autobusu, zalecane</w:t>
            </w:r>
            <w:r w:rsidRPr="005B0B70">
              <w:rPr>
                <w:rFonts w:ascii="Cambria" w:eastAsia="Times New Roman" w:hAnsi="Cambria" w:cs="Times New Roman"/>
                <w:szCs w:val="20"/>
                <w:vertAlign w:val="superscript"/>
                <w:lang w:eastAsia="pl-PL"/>
              </w:rPr>
              <w:footnoteReference w:id="2"/>
            </w:r>
            <w:r w:rsidRPr="005B0B70">
              <w:rPr>
                <w:rFonts w:ascii="Cambria" w:eastAsia="Times New Roman" w:hAnsi="Cambria" w:cs="Times New Roman"/>
                <w:szCs w:val="20"/>
                <w:lang w:eastAsia="pl-PL"/>
              </w:rPr>
              <w:t xml:space="preserve"> usytuowanie dwóch miejsc przodem i dwóch tyłem do kierunku jazdy, dopuszczalne usytuowanie czterech miejsc przodem do kierunku jazdy wyłącznie z przyczyn technicznych, konstrukcyjnych;</w:t>
            </w:r>
          </w:p>
          <w:p w14:paraId="048C9D02" w14:textId="77777777" w:rsidR="00877A35" w:rsidRPr="005B0B70" w:rsidRDefault="00877A35" w:rsidP="006A7BFE">
            <w:pPr>
              <w:numPr>
                <w:ilvl w:val="0"/>
                <w:numId w:val="13"/>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12 miejsc siedzących usytuowanych bezpośrednio na poziomie podłogi, bez podestów, w tym wymagane 6 (zalecane minimum 8) miejsc siedzących usytuowanych w I członie autobusu w pobliżu drugich drzwi;</w:t>
            </w:r>
          </w:p>
          <w:p w14:paraId="216FFB1E" w14:textId="77777777" w:rsidR="00877A35" w:rsidRPr="005B0B70" w:rsidRDefault="00877A35" w:rsidP="006A7BFE">
            <w:pPr>
              <w:numPr>
                <w:ilvl w:val="0"/>
                <w:numId w:val="13"/>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drugim członie autobusu, po lewej stronie, w przestrzeni pomiędzy przegubem a nadkolami tylnej osi, wymagane miejsca siedzące pojedyncze; dopuszcza się fotele tzw. „półtora” lub podwójne, wyłącznie jako zamocowane na podestach (jeśli są one konieczne ze względów konstrukcyjnych) oraz pod warunkiem, że w tym miejscu po prawej stronie autobusu nie będą zastosowane fotele podwójne; zalecane zastosowanie foteli tzw. „półtora” zamiast foteli podwójnych usytuowanych bezpośrednio za pierwszymi drzwiami.</w:t>
            </w:r>
          </w:p>
          <w:p w14:paraId="04316CD6" w14:textId="77777777" w:rsidR="00214E90" w:rsidRPr="005B0B70" w:rsidRDefault="00214E90" w:rsidP="00877A35">
            <w:pPr>
              <w:spacing w:after="0" w:line="240" w:lineRule="auto"/>
              <w:jc w:val="right"/>
              <w:rPr>
                <w:rFonts w:ascii="Cambria" w:eastAsia="Times New Roman" w:hAnsi="Cambria" w:cs="Times New Roman"/>
                <w:szCs w:val="20"/>
                <w:lang w:eastAsia="pl-PL"/>
              </w:rPr>
            </w:pPr>
          </w:p>
          <w:p w14:paraId="600179E0" w14:textId="16D1A847" w:rsidR="00877A35" w:rsidRPr="005B0B70" w:rsidRDefault="00877A35" w:rsidP="00877A35">
            <w:pPr>
              <w:spacing w:after="0" w:line="240" w:lineRule="auto"/>
              <w:jc w:val="right"/>
              <w:rPr>
                <w:rFonts w:ascii="Cambria" w:eastAsia="Times New Roman" w:hAnsi="Cambria" w:cs="Times New Roman"/>
                <w:b/>
                <w:bCs/>
                <w:szCs w:val="20"/>
                <w:lang w:eastAsia="pl-PL"/>
              </w:rPr>
            </w:pPr>
            <w:r w:rsidRPr="005B0B70">
              <w:rPr>
                <w:rFonts w:ascii="Cambria" w:eastAsia="Times New Roman" w:hAnsi="Cambria" w:cs="Times New Roman"/>
                <w:szCs w:val="20"/>
                <w:lang w:eastAsia="pl-PL"/>
              </w:rPr>
              <w:t xml:space="preserve">siedzących i stojących ogółem </w:t>
            </w:r>
          </w:p>
          <w:p w14:paraId="33AD6742" w14:textId="77777777" w:rsidR="00877A35" w:rsidRPr="005B0B70" w:rsidRDefault="00877A35" w:rsidP="006A7BFE">
            <w:p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b/>
                <w:bCs/>
                <w:szCs w:val="20"/>
                <w:lang w:eastAsia="pl-PL"/>
              </w:rPr>
              <w:lastRenderedPageBreak/>
              <w:t>uwaga:</w:t>
            </w:r>
            <w:r w:rsidRPr="005B0B70">
              <w:rPr>
                <w:rFonts w:ascii="Cambria" w:eastAsia="Times New Roman" w:hAnsi="Cambria" w:cs="Times New Roman"/>
                <w:szCs w:val="20"/>
                <w:lang w:eastAsia="pl-PL"/>
              </w:rPr>
              <w:t xml:space="preserve"> liczba miejsc pasażerskich stojących ustalona zgodnie z zasadami określonymi w Załączniku nr 11 do Regulaminu nr 107 EKG ONZ, </w:t>
            </w:r>
          </w:p>
          <w:p w14:paraId="1E5F2380" w14:textId="08D979A6" w:rsidR="00877A35" w:rsidRPr="005B0B70" w:rsidRDefault="00877A35" w:rsidP="006A7BFE">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 zastosowaniu wskaźnika powierzchn</w:t>
            </w:r>
            <w:r w:rsidR="009C2A6C" w:rsidRPr="005B0B70">
              <w:rPr>
                <w:rFonts w:ascii="Cambria" w:eastAsia="Times New Roman" w:hAnsi="Cambria" w:cs="Times New Roman"/>
                <w:szCs w:val="20"/>
                <w:lang w:eastAsia="pl-PL"/>
              </w:rPr>
              <w:t xml:space="preserve"> li</w:t>
            </w:r>
            <w:r w:rsidRPr="005B0B70">
              <w:rPr>
                <w:rFonts w:ascii="Cambria" w:eastAsia="Times New Roman" w:hAnsi="Cambria" w:cs="Times New Roman"/>
                <w:szCs w:val="20"/>
                <w:lang w:eastAsia="pl-PL"/>
              </w:rPr>
              <w:t>i podłogi przeznaczonej na jednego pasażera wynoszącego 0,15 m</w:t>
            </w:r>
            <w:r w:rsidR="00A44004" w:rsidRPr="005B0B70">
              <w:rPr>
                <w:rFonts w:ascii="Cambria" w:eastAsia="Times New Roman" w:hAnsi="Cambria" w:cs="Times New Roman"/>
                <w:szCs w:val="20"/>
                <w:vertAlign w:val="superscript"/>
                <w:lang w:eastAsia="pl-PL"/>
              </w:rPr>
              <w:t>2</w:t>
            </w:r>
            <w:r w:rsidR="00A44004" w:rsidRPr="005B0B70">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 xml:space="preserve">wskaźnik napełnienia – </w:t>
            </w:r>
            <w:r w:rsidR="006A7BFE" w:rsidRPr="005B0B70">
              <w:rPr>
                <w:rFonts w:ascii="Cambria" w:eastAsia="Times New Roman" w:hAnsi="Cambria" w:cs="Times New Roman"/>
                <w:szCs w:val="20"/>
                <w:lang w:eastAsia="pl-PL"/>
              </w:rPr>
              <w:t>6,7</w:t>
            </w:r>
            <w:r w:rsidRPr="005B0B70">
              <w:rPr>
                <w:rFonts w:ascii="Cambria" w:eastAsia="Times New Roman" w:hAnsi="Cambria" w:cs="Times New Roman"/>
                <w:szCs w:val="20"/>
                <w:lang w:eastAsia="pl-PL"/>
              </w:rPr>
              <w:t xml:space="preserve"> osoby/m</w:t>
            </w:r>
            <w:r w:rsidRPr="005B0B70">
              <w:rPr>
                <w:rFonts w:ascii="Cambria" w:eastAsia="Times New Roman" w:hAnsi="Cambria" w:cs="Times New Roman"/>
                <w:szCs w:val="20"/>
                <w:vertAlign w:val="superscript"/>
                <w:lang w:eastAsia="pl-PL"/>
              </w:rPr>
              <w:t>2</w:t>
            </w:r>
            <w:r w:rsidRPr="005B0B70">
              <w:rPr>
                <w:rFonts w:ascii="Cambria" w:eastAsia="Times New Roman" w:hAnsi="Cambria" w:cs="Times New Roman"/>
                <w:szCs w:val="20"/>
                <w:lang w:eastAsia="pl-PL"/>
              </w:rPr>
              <w:t xml:space="preserve"> powierzchni podłogi S</w:t>
            </w:r>
            <w:r w:rsidRPr="005B0B70">
              <w:rPr>
                <w:rFonts w:ascii="Cambria" w:eastAsia="Times New Roman" w:hAnsi="Cambria" w:cs="Times New Roman"/>
                <w:szCs w:val="20"/>
                <w:vertAlign w:val="subscript"/>
                <w:lang w:eastAsia="pl-PL"/>
              </w:rPr>
              <w:t xml:space="preserve">1 </w:t>
            </w:r>
            <w:r w:rsidRPr="005B0B70">
              <w:rPr>
                <w:rFonts w:ascii="Cambria" w:eastAsia="Times New Roman" w:hAnsi="Cambria" w:cs="Times New Roman"/>
                <w:szCs w:val="20"/>
                <w:lang w:eastAsia="pl-PL"/>
              </w:rPr>
              <w:t>przeznaczonej dla pasażerów stojących)</w:t>
            </w:r>
          </w:p>
        </w:tc>
        <w:tc>
          <w:tcPr>
            <w:tcW w:w="2340" w:type="dxa"/>
          </w:tcPr>
          <w:p w14:paraId="42E194C8"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631587BC"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38</w:t>
            </w:r>
          </w:p>
          <w:p w14:paraId="4C051149"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7974FD20" w14:textId="77777777" w:rsidR="00877A35" w:rsidRPr="005B0B70" w:rsidRDefault="00877A35" w:rsidP="00877A35">
            <w:pPr>
              <w:spacing w:after="0" w:line="240" w:lineRule="auto"/>
              <w:rPr>
                <w:rFonts w:ascii="Cambria" w:eastAsia="Times New Roman" w:hAnsi="Cambria" w:cs="Times New Roman"/>
                <w:szCs w:val="20"/>
                <w:lang w:eastAsia="pl-PL"/>
              </w:rPr>
            </w:pPr>
          </w:p>
          <w:p w14:paraId="181FAC23"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121B89C4" w14:textId="77777777" w:rsidR="00877A35" w:rsidRPr="005B0B70" w:rsidRDefault="00877A35" w:rsidP="00877A35">
            <w:pPr>
              <w:spacing w:after="0" w:line="240" w:lineRule="auto"/>
              <w:rPr>
                <w:rFonts w:ascii="Cambria" w:eastAsia="Times New Roman" w:hAnsi="Cambria" w:cs="Times New Roman"/>
                <w:szCs w:val="20"/>
                <w:lang w:eastAsia="pl-PL"/>
              </w:rPr>
            </w:pPr>
          </w:p>
          <w:p w14:paraId="4580EFE1"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7E7F761B" w14:textId="77777777" w:rsidR="00877A35" w:rsidRPr="005B0B70" w:rsidRDefault="00877A35" w:rsidP="00877A35">
            <w:pPr>
              <w:spacing w:after="0" w:line="240" w:lineRule="auto"/>
              <w:rPr>
                <w:rFonts w:ascii="Cambria" w:eastAsia="Times New Roman" w:hAnsi="Cambria" w:cs="Times New Roman"/>
                <w:szCs w:val="20"/>
                <w:lang w:eastAsia="pl-PL"/>
              </w:rPr>
            </w:pPr>
          </w:p>
          <w:p w14:paraId="7AE2F52C"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6FE4937D"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2EFB2204"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7354B3D0"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138333E4"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2B6A7916"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2EB410DE" w14:textId="77777777" w:rsidR="00877A35" w:rsidRPr="005B0B70" w:rsidRDefault="00877A35" w:rsidP="00877A35">
            <w:pPr>
              <w:spacing w:after="0" w:line="240" w:lineRule="auto"/>
              <w:jc w:val="center"/>
              <w:rPr>
                <w:rFonts w:ascii="Cambria" w:eastAsia="Times New Roman" w:hAnsi="Cambria" w:cs="Times New Roman"/>
                <w:lang w:eastAsia="pl-PL"/>
              </w:rPr>
            </w:pPr>
          </w:p>
          <w:p w14:paraId="4CF7E040" w14:textId="77777777" w:rsidR="00877A35" w:rsidRPr="005B0B70" w:rsidRDefault="00877A35" w:rsidP="00877A35">
            <w:pPr>
              <w:spacing w:after="0" w:line="240" w:lineRule="auto"/>
              <w:jc w:val="center"/>
              <w:rPr>
                <w:rFonts w:ascii="Cambria" w:eastAsia="Times New Roman" w:hAnsi="Cambria" w:cs="Times New Roman"/>
                <w:lang w:eastAsia="pl-PL"/>
              </w:rPr>
            </w:pPr>
          </w:p>
          <w:p w14:paraId="5C62DBA7" w14:textId="77777777" w:rsidR="00877A35" w:rsidRPr="005B0B70" w:rsidRDefault="00877A35" w:rsidP="00877A35">
            <w:pPr>
              <w:spacing w:after="0" w:line="240" w:lineRule="auto"/>
              <w:jc w:val="center"/>
              <w:rPr>
                <w:rFonts w:ascii="Cambria" w:eastAsia="Times New Roman" w:hAnsi="Cambria" w:cs="Times New Roman"/>
                <w:lang w:eastAsia="pl-PL"/>
              </w:rPr>
            </w:pPr>
          </w:p>
          <w:p w14:paraId="57917ECB" w14:textId="77777777" w:rsidR="00877A35" w:rsidRPr="005B0B70" w:rsidRDefault="00877A35" w:rsidP="00877A35">
            <w:pPr>
              <w:spacing w:after="0" w:line="240" w:lineRule="auto"/>
              <w:rPr>
                <w:rFonts w:ascii="Cambria" w:eastAsia="Times New Roman" w:hAnsi="Cambria" w:cs="Times New Roman"/>
                <w:lang w:eastAsia="pl-PL"/>
              </w:rPr>
            </w:pPr>
          </w:p>
          <w:p w14:paraId="03BA0585" w14:textId="77777777" w:rsidR="00877A35" w:rsidRPr="005B0B70" w:rsidRDefault="00877A35" w:rsidP="00877A35">
            <w:pPr>
              <w:spacing w:after="0" w:line="240" w:lineRule="auto"/>
              <w:rPr>
                <w:rFonts w:ascii="Cambria" w:eastAsia="Times New Roman" w:hAnsi="Cambria" w:cs="Times New Roman"/>
                <w:lang w:eastAsia="pl-PL"/>
              </w:rPr>
            </w:pPr>
          </w:p>
          <w:p w14:paraId="127275A4" w14:textId="77777777" w:rsidR="00877A35" w:rsidRPr="005B0B70" w:rsidRDefault="00877A35" w:rsidP="00877A35">
            <w:pPr>
              <w:spacing w:after="0" w:line="240" w:lineRule="auto"/>
              <w:rPr>
                <w:rFonts w:ascii="Cambria" w:eastAsia="Times New Roman" w:hAnsi="Cambria" w:cs="Times New Roman"/>
                <w:lang w:eastAsia="pl-PL"/>
              </w:rPr>
            </w:pPr>
          </w:p>
          <w:p w14:paraId="1BA151F3" w14:textId="77777777" w:rsidR="00214E90" w:rsidRPr="005B0B70" w:rsidRDefault="00214E90" w:rsidP="00214E90">
            <w:pPr>
              <w:spacing w:after="0" w:line="240" w:lineRule="auto"/>
              <w:rPr>
                <w:rFonts w:ascii="Cambria" w:eastAsia="Times New Roman" w:hAnsi="Cambria" w:cs="Times New Roman"/>
                <w:lang w:eastAsia="pl-PL"/>
              </w:rPr>
            </w:pPr>
          </w:p>
          <w:p w14:paraId="7EB3AB72" w14:textId="3D83E6F3" w:rsidR="00877A35" w:rsidRPr="005B0B70" w:rsidRDefault="009E6E9E" w:rsidP="009A24A4">
            <w:pPr>
              <w:spacing w:after="0" w:line="240" w:lineRule="auto"/>
              <w:jc w:val="center"/>
              <w:rPr>
                <w:rFonts w:ascii="Cambria" w:eastAsia="Times New Roman" w:hAnsi="Cambria" w:cs="Times New Roman"/>
                <w:lang w:eastAsia="pl-PL"/>
              </w:rPr>
            </w:pPr>
            <w:r w:rsidRPr="005B0B70">
              <w:rPr>
                <w:rFonts w:ascii="Cambria" w:eastAsia="Times New Roman" w:hAnsi="Cambria" w:cs="Times New Roman"/>
                <w:lang w:eastAsia="pl-PL"/>
              </w:rPr>
              <w:t>1</w:t>
            </w:r>
            <w:r w:rsidR="00A1677C" w:rsidRPr="005B0B70">
              <w:rPr>
                <w:rFonts w:ascii="Cambria" w:eastAsia="Times New Roman" w:hAnsi="Cambria" w:cs="Times New Roman"/>
                <w:lang w:eastAsia="pl-PL"/>
              </w:rPr>
              <w:t>0</w:t>
            </w:r>
            <w:r w:rsidRPr="005B0B70">
              <w:rPr>
                <w:rFonts w:ascii="Cambria" w:eastAsia="Times New Roman" w:hAnsi="Cambria" w:cs="Times New Roman"/>
                <w:lang w:eastAsia="pl-PL"/>
              </w:rPr>
              <w:t>0</w:t>
            </w:r>
            <w:r w:rsidR="00877A35" w:rsidRPr="005B0B70">
              <w:rPr>
                <w:rFonts w:ascii="Cambria" w:eastAsia="Times New Roman" w:hAnsi="Cambria" w:cs="Times New Roman"/>
                <w:vertAlign w:val="superscript"/>
                <w:lang w:eastAsia="pl-PL"/>
              </w:rPr>
              <w:footnoteReference w:id="3"/>
            </w:r>
          </w:p>
          <w:p w14:paraId="4DC53D62" w14:textId="77777777" w:rsidR="00877A35" w:rsidRPr="005B0B70" w:rsidRDefault="00877A35" w:rsidP="00877A35">
            <w:pPr>
              <w:spacing w:after="0" w:line="240" w:lineRule="auto"/>
              <w:jc w:val="center"/>
              <w:rPr>
                <w:rFonts w:ascii="Cambria" w:eastAsia="Times New Roman" w:hAnsi="Cambria" w:cs="Times New Roman"/>
                <w:strike/>
                <w:szCs w:val="20"/>
                <w:lang w:eastAsia="pl-PL"/>
              </w:rPr>
            </w:pPr>
            <w:r w:rsidRPr="005B0B70">
              <w:rPr>
                <w:rFonts w:ascii="Cambria" w:eastAsia="Times New Roman" w:hAnsi="Cambria" w:cs="Times New Roman"/>
                <w:lang w:eastAsia="pl-PL"/>
              </w:rPr>
              <w:t xml:space="preserve"> </w:t>
            </w:r>
          </w:p>
        </w:tc>
      </w:tr>
      <w:tr w:rsidR="005B0B70" w:rsidRPr="005B0B70" w14:paraId="0CBCCEBA" w14:textId="77777777" w:rsidTr="009C2A6C">
        <w:tc>
          <w:tcPr>
            <w:tcW w:w="496" w:type="dxa"/>
            <w:vAlign w:val="center"/>
          </w:tcPr>
          <w:p w14:paraId="3B93E823"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tcPr>
          <w:p w14:paraId="343D5A69"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liczba miejsc wyznaczonych na:</w:t>
            </w:r>
          </w:p>
          <w:p w14:paraId="30C243DD" w14:textId="77777777" w:rsidR="00877A35" w:rsidRPr="005B0B70" w:rsidRDefault="00877A35" w:rsidP="00877A35">
            <w:pPr>
              <w:spacing w:after="0" w:line="240" w:lineRule="auto"/>
              <w:jc w:val="right"/>
              <w:rPr>
                <w:rFonts w:ascii="Cambria" w:eastAsia="Times New Roman" w:hAnsi="Cambria" w:cs="Times New Roman"/>
                <w:szCs w:val="20"/>
                <w:lang w:eastAsia="pl-PL"/>
              </w:rPr>
            </w:pPr>
            <w:r w:rsidRPr="005B0B70">
              <w:rPr>
                <w:rFonts w:ascii="Cambria" w:eastAsia="Times New Roman" w:hAnsi="Cambria" w:cs="Times New Roman"/>
                <w:szCs w:val="20"/>
                <w:lang w:eastAsia="pl-PL"/>
              </w:rPr>
              <w:t>wózek dziecięcy</w:t>
            </w:r>
          </w:p>
          <w:p w14:paraId="27B24755" w14:textId="77777777" w:rsidR="00877A35" w:rsidRPr="005B0B70" w:rsidRDefault="00877A35" w:rsidP="00877A35">
            <w:pPr>
              <w:spacing w:after="0" w:line="240" w:lineRule="auto"/>
              <w:jc w:val="right"/>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wózek inwalidzki </w:t>
            </w:r>
          </w:p>
          <w:p w14:paraId="7D675DBE" w14:textId="463EE3B1" w:rsidR="00877A35" w:rsidRPr="005B0B70" w:rsidRDefault="00877A35" w:rsidP="006A7BFE">
            <w:p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b/>
                <w:bCs/>
                <w:szCs w:val="20"/>
                <w:lang w:eastAsia="pl-PL"/>
              </w:rPr>
              <w:t>uwaga:</w:t>
            </w:r>
            <w:r w:rsidRPr="005B0B70">
              <w:rPr>
                <w:rFonts w:ascii="Cambria" w:eastAsia="Times New Roman" w:hAnsi="Cambria" w:cs="Times New Roman"/>
                <w:szCs w:val="20"/>
                <w:lang w:eastAsia="pl-PL"/>
              </w:rPr>
              <w:t xml:space="preserve"> miejsce wyznaczone dla wózka inwalidzkiego wraz z urządzeniem przytrzymującym (oparciem) oraz miejsce wyznaczone na wózek dziecięcy wraz z oparciem lub podporą, spełniające wymagania Załącznika nr 8 do Regulaminu nr 107 EKG ONZ; miejsca usytuowane przy ścianie bocznej w przedniej części autobusu, w przestrzeni przy drugich drzwiach, wyznaczone niezależnie od siebie, w sposób nie powodujący utrudnienia w korzystaniu z nich, w tym swobodnego dojazdu do drzwi wejściowych; w tym celu miejsca nie mogą być wyznaczane jedno za drugim po tej samej stronie, a muszą się znajdować po obu stronach autobusu, tj. miejsce na wózek inwalidzki po lewej stronie</w:t>
            </w:r>
            <w:r w:rsidR="002E4148"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 xml:space="preserve"> a na wózek dziecięcy po prawej stronie; pas przytrzymujący osobę na wózku inwalidzkim o długości min. 2000 mm w pełnym rozwinięciu</w:t>
            </w:r>
            <w:r w:rsidR="002E4148" w:rsidRPr="005B0B70">
              <w:rPr>
                <w:rFonts w:ascii="Cambria" w:eastAsia="Times New Roman" w:hAnsi="Cambria" w:cs="Times New Roman"/>
                <w:szCs w:val="20"/>
                <w:lang w:eastAsia="pl-PL"/>
              </w:rPr>
              <w:t>, Zamawiający zaleca</w:t>
            </w:r>
            <w:r w:rsidR="002E4148" w:rsidRPr="005B0B70">
              <w:rPr>
                <w:rFonts w:ascii="Cambria" w:eastAsia="Times New Roman" w:hAnsi="Cambria" w:cs="Times New Roman"/>
                <w:szCs w:val="20"/>
                <w:vertAlign w:val="superscript"/>
                <w:lang w:eastAsia="pl-PL"/>
              </w:rPr>
              <w:footnoteReference w:id="4"/>
            </w:r>
            <w:r w:rsidR="002E4148" w:rsidRPr="005B0B70">
              <w:rPr>
                <w:rFonts w:ascii="Cambria" w:eastAsia="Times New Roman" w:hAnsi="Cambria" w:cs="Times New Roman"/>
                <w:szCs w:val="20"/>
                <w:lang w:eastAsia="pl-PL"/>
              </w:rPr>
              <w:t xml:space="preserve">  zastosowanie pasa bezpieczeństwa również w przypadku wózka ustawionego tyłem do kierunku jazdy</w:t>
            </w:r>
          </w:p>
        </w:tc>
        <w:tc>
          <w:tcPr>
            <w:tcW w:w="2340" w:type="dxa"/>
          </w:tcPr>
          <w:p w14:paraId="01844860"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4AD93236"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1</w:t>
            </w:r>
          </w:p>
          <w:p w14:paraId="09682953"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1</w:t>
            </w:r>
          </w:p>
          <w:p w14:paraId="7C05FCB6"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tc>
      </w:tr>
      <w:tr w:rsidR="005B0B70" w:rsidRPr="005B0B70" w14:paraId="0866D0A0" w14:textId="77777777" w:rsidTr="009C2A6C">
        <w:trPr>
          <w:cantSplit/>
          <w:trHeight w:val="520"/>
        </w:trPr>
        <w:tc>
          <w:tcPr>
            <w:tcW w:w="496" w:type="dxa"/>
            <w:vAlign w:val="center"/>
          </w:tcPr>
          <w:p w14:paraId="42536BBE"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tcPr>
          <w:p w14:paraId="15593E61" w14:textId="77777777" w:rsidR="00877A35" w:rsidRPr="005B0B70" w:rsidRDefault="00877A35" w:rsidP="00877A35">
            <w:pPr>
              <w:spacing w:after="0" w:line="240" w:lineRule="auto"/>
              <w:rPr>
                <w:rFonts w:ascii="Cambria" w:eastAsia="Times New Roman" w:hAnsi="Cambria" w:cs="Times New Roman"/>
                <w:szCs w:val="24"/>
                <w:lang w:eastAsia="pl-PL"/>
              </w:rPr>
            </w:pPr>
            <w:r w:rsidRPr="005B0B70">
              <w:rPr>
                <w:rFonts w:ascii="Cambria" w:eastAsia="Times New Roman" w:hAnsi="Cambria" w:cs="Times New Roman"/>
                <w:szCs w:val="24"/>
                <w:lang w:eastAsia="pl-PL"/>
              </w:rPr>
              <w:t xml:space="preserve">drzwi pasażerskie: </w:t>
            </w:r>
            <w:r w:rsidRPr="005B0B70">
              <w:rPr>
                <w:rFonts w:ascii="Cambria" w:eastAsia="Times New Roman" w:hAnsi="Cambria" w:cs="Times New Roman"/>
                <w:szCs w:val="20"/>
                <w:lang w:eastAsia="pl-PL"/>
              </w:rPr>
              <w:t>spełniające wymagania Zał. nr 3 do Reg. nr 107 EKG ONZ</w:t>
            </w:r>
          </w:p>
          <w:p w14:paraId="1BBAC75D" w14:textId="77777777" w:rsidR="00877A35" w:rsidRPr="005B0B70" w:rsidRDefault="00877A35" w:rsidP="00877A35">
            <w:pPr>
              <w:spacing w:after="0" w:line="240" w:lineRule="auto"/>
              <w:jc w:val="right"/>
              <w:rPr>
                <w:rFonts w:ascii="Cambria" w:eastAsia="Times New Roman" w:hAnsi="Cambria" w:cs="Times New Roman"/>
                <w:szCs w:val="24"/>
                <w:lang w:eastAsia="pl-PL"/>
              </w:rPr>
            </w:pPr>
            <w:r w:rsidRPr="005B0B70">
              <w:rPr>
                <w:rFonts w:ascii="Cambria" w:eastAsia="Times New Roman" w:hAnsi="Cambria" w:cs="Times New Roman"/>
                <w:szCs w:val="24"/>
                <w:lang w:eastAsia="pl-PL"/>
              </w:rPr>
              <w:t xml:space="preserve">liczba drzwi pasażerskich </w:t>
            </w:r>
          </w:p>
          <w:p w14:paraId="677EF022" w14:textId="77777777" w:rsidR="00877A35" w:rsidRPr="005B0B70" w:rsidRDefault="00877A35" w:rsidP="00877A35">
            <w:pPr>
              <w:spacing w:after="0" w:line="240" w:lineRule="auto"/>
              <w:jc w:val="right"/>
              <w:rPr>
                <w:rFonts w:ascii="Cambria" w:eastAsia="Times New Roman" w:hAnsi="Cambria" w:cs="Times New Roman"/>
                <w:szCs w:val="24"/>
                <w:lang w:eastAsia="pl-PL"/>
              </w:rPr>
            </w:pPr>
            <w:r w:rsidRPr="005B0B70">
              <w:rPr>
                <w:rFonts w:ascii="Cambria" w:eastAsia="Times New Roman" w:hAnsi="Cambria" w:cs="Times New Roman"/>
                <w:szCs w:val="24"/>
                <w:lang w:eastAsia="pl-PL"/>
              </w:rPr>
              <w:t>układ drzwi pasażerskich</w:t>
            </w:r>
          </w:p>
        </w:tc>
        <w:tc>
          <w:tcPr>
            <w:tcW w:w="2340" w:type="dxa"/>
          </w:tcPr>
          <w:p w14:paraId="0BCF2EC8"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26426DBF"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4</w:t>
            </w:r>
          </w:p>
          <w:p w14:paraId="5D790FFA" w14:textId="77777777" w:rsidR="00877A35" w:rsidRPr="005B0B70" w:rsidRDefault="00877A35" w:rsidP="00877A35">
            <w:pPr>
              <w:spacing w:after="0" w:line="240" w:lineRule="auto"/>
              <w:jc w:val="center"/>
              <w:rPr>
                <w:rFonts w:ascii="Cambria" w:eastAsia="Times New Roman" w:hAnsi="Cambria" w:cs="Times New Roman"/>
                <w:i/>
                <w:iCs/>
                <w:szCs w:val="20"/>
                <w:lang w:eastAsia="pl-PL"/>
              </w:rPr>
            </w:pPr>
            <w:r w:rsidRPr="005B0B70">
              <w:rPr>
                <w:rFonts w:ascii="Cambria" w:eastAsia="Times New Roman" w:hAnsi="Cambria" w:cs="Times New Roman"/>
                <w:szCs w:val="20"/>
                <w:lang w:eastAsia="pl-PL"/>
              </w:rPr>
              <w:t>2-2-2-2</w:t>
            </w:r>
          </w:p>
        </w:tc>
      </w:tr>
      <w:tr w:rsidR="005B0B70" w:rsidRPr="005B0B70" w14:paraId="34B05E4E" w14:textId="77777777" w:rsidTr="009C2A6C">
        <w:trPr>
          <w:cantSplit/>
        </w:trPr>
        <w:tc>
          <w:tcPr>
            <w:tcW w:w="496" w:type="dxa"/>
            <w:vAlign w:val="center"/>
          </w:tcPr>
          <w:p w14:paraId="6B5E45B1"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tcPr>
          <w:p w14:paraId="1AA480A7"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ukształtowanie podłogi:</w:t>
            </w:r>
          </w:p>
          <w:p w14:paraId="33E84921" w14:textId="7D943BA3" w:rsidR="00877A35" w:rsidRPr="005B0B70" w:rsidRDefault="00877A35" w:rsidP="006A7BFE">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autobus całkowicie niskopodłogowy, bez stopni pośrednich na podłodze, w przejściu środkowym oraz w drzwiach, jeden stopień w każdych drzwiach, maksymalna wysokość stopnia (podłogi) na progu każdych drzwi [mm]</w:t>
            </w:r>
          </w:p>
          <w:p w14:paraId="714A553F" w14:textId="77777777" w:rsidR="00877A35" w:rsidRPr="005B0B70" w:rsidRDefault="00877A35" w:rsidP="006A7BFE">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Minimalna szerokość przejścia pomiędzy nadkolami osi tylnej (wartość mierzona 100 mm nad podłogą w najwęższym miejscu) [mm]:</w:t>
            </w:r>
          </w:p>
        </w:tc>
        <w:tc>
          <w:tcPr>
            <w:tcW w:w="2340" w:type="dxa"/>
          </w:tcPr>
          <w:p w14:paraId="4BB53F0F" w14:textId="77777777" w:rsidR="00877A35" w:rsidRPr="005B0B70" w:rsidRDefault="00877A35" w:rsidP="00877A35">
            <w:pPr>
              <w:spacing w:after="0" w:line="240" w:lineRule="auto"/>
              <w:ind w:firstLine="708"/>
              <w:jc w:val="center"/>
              <w:rPr>
                <w:rFonts w:ascii="Cambria" w:eastAsia="Times New Roman" w:hAnsi="Cambria" w:cs="Times New Roman"/>
                <w:szCs w:val="20"/>
                <w:lang w:eastAsia="pl-PL"/>
              </w:rPr>
            </w:pPr>
          </w:p>
          <w:p w14:paraId="0340EEF4"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6D1BCB92" w14:textId="77777777" w:rsidR="00877A35" w:rsidRPr="005B0B70" w:rsidRDefault="00877A35" w:rsidP="00877A35">
            <w:pPr>
              <w:spacing w:after="0" w:line="240" w:lineRule="auto"/>
              <w:rPr>
                <w:rFonts w:ascii="Cambria" w:eastAsia="Times New Roman" w:hAnsi="Cambria" w:cs="Times New Roman"/>
                <w:szCs w:val="20"/>
                <w:lang w:eastAsia="pl-PL"/>
              </w:rPr>
            </w:pPr>
          </w:p>
          <w:p w14:paraId="5E5DA470"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340</w:t>
            </w:r>
          </w:p>
          <w:p w14:paraId="73C0C5BA" w14:textId="77777777" w:rsidR="00877A35" w:rsidRPr="005B0B70" w:rsidRDefault="00877A35" w:rsidP="00877A35">
            <w:pPr>
              <w:spacing w:after="0" w:line="240" w:lineRule="auto"/>
              <w:jc w:val="center"/>
              <w:rPr>
                <w:rFonts w:ascii="Cambria" w:eastAsia="Times New Roman" w:hAnsi="Cambria" w:cs="Times New Roman"/>
                <w:szCs w:val="20"/>
                <w:lang w:eastAsia="pl-PL"/>
              </w:rPr>
            </w:pPr>
          </w:p>
          <w:p w14:paraId="456E5499"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520</w:t>
            </w:r>
          </w:p>
        </w:tc>
      </w:tr>
      <w:tr w:rsidR="005B0B70" w:rsidRPr="005B0B70" w14:paraId="5C7136BA" w14:textId="77777777" w:rsidTr="009C2A6C">
        <w:trPr>
          <w:trHeight w:val="505"/>
        </w:trPr>
        <w:tc>
          <w:tcPr>
            <w:tcW w:w="496" w:type="dxa"/>
            <w:vAlign w:val="center"/>
          </w:tcPr>
          <w:p w14:paraId="6D1E9F50"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vAlign w:val="center"/>
          </w:tcPr>
          <w:p w14:paraId="4AD2BD1E"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całkowita szerokość autobusu                                                                         [m]</w:t>
            </w:r>
          </w:p>
        </w:tc>
        <w:tc>
          <w:tcPr>
            <w:tcW w:w="2340" w:type="dxa"/>
            <w:vAlign w:val="center"/>
          </w:tcPr>
          <w:p w14:paraId="11AE07E2"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2,50 ÷ 2,55</w:t>
            </w:r>
          </w:p>
        </w:tc>
      </w:tr>
      <w:tr w:rsidR="005B0B70" w:rsidRPr="005B0B70" w14:paraId="60F78B1F" w14:textId="77777777" w:rsidTr="009C2A6C">
        <w:trPr>
          <w:trHeight w:val="506"/>
        </w:trPr>
        <w:tc>
          <w:tcPr>
            <w:tcW w:w="496" w:type="dxa"/>
            <w:vAlign w:val="center"/>
          </w:tcPr>
          <w:p w14:paraId="7E4D5E4D" w14:textId="77777777" w:rsidR="00877A35" w:rsidRPr="005B0B70" w:rsidRDefault="00877A35" w:rsidP="00C232FB">
            <w:pPr>
              <w:numPr>
                <w:ilvl w:val="0"/>
                <w:numId w:val="24"/>
              </w:numPr>
              <w:spacing w:after="0" w:line="240" w:lineRule="auto"/>
              <w:jc w:val="center"/>
              <w:rPr>
                <w:rFonts w:ascii="Cambria" w:eastAsia="Times New Roman" w:hAnsi="Cambria" w:cs="Times New Roman"/>
                <w:szCs w:val="20"/>
                <w:lang w:eastAsia="pl-PL"/>
              </w:rPr>
            </w:pPr>
          </w:p>
        </w:tc>
        <w:tc>
          <w:tcPr>
            <w:tcW w:w="7371" w:type="dxa"/>
            <w:vAlign w:val="center"/>
          </w:tcPr>
          <w:p w14:paraId="79279CEA"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całkowita długość autobusu                                                                            [m]</w:t>
            </w:r>
          </w:p>
        </w:tc>
        <w:tc>
          <w:tcPr>
            <w:tcW w:w="2340" w:type="dxa"/>
            <w:vAlign w:val="center"/>
          </w:tcPr>
          <w:p w14:paraId="7FBBC167" w14:textId="77777777" w:rsidR="00877A35" w:rsidRPr="005B0B70" w:rsidRDefault="00877A35" w:rsidP="00877A35">
            <w:pPr>
              <w:spacing w:after="0" w:line="240" w:lineRule="auto"/>
              <w:jc w:val="center"/>
              <w:rPr>
                <w:rFonts w:ascii="Cambria" w:eastAsia="Times New Roman" w:hAnsi="Cambria" w:cs="Times New Roman"/>
                <w:szCs w:val="20"/>
                <w:lang w:eastAsia="pl-PL"/>
              </w:rPr>
            </w:pPr>
            <w:r w:rsidRPr="005B0B70">
              <w:rPr>
                <w:rFonts w:ascii="Cambria" w:eastAsia="Times New Roman" w:hAnsi="Cambria" w:cs="Times New Roman"/>
                <w:szCs w:val="20"/>
                <w:lang w:eastAsia="pl-PL"/>
              </w:rPr>
              <w:t>17,5 ÷ 18,2</w:t>
            </w:r>
          </w:p>
        </w:tc>
      </w:tr>
    </w:tbl>
    <w:p w14:paraId="13A10419" w14:textId="77777777" w:rsidR="00877A35" w:rsidRPr="005B0B70" w:rsidRDefault="00877A35" w:rsidP="00877A35">
      <w:pPr>
        <w:spacing w:after="0" w:line="240" w:lineRule="auto"/>
        <w:rPr>
          <w:rFonts w:ascii="Cambria" w:eastAsia="Times New Roman" w:hAnsi="Cambria" w:cs="Times New Roman"/>
          <w:sz w:val="20"/>
          <w:szCs w:val="20"/>
          <w:lang w:eastAsia="pl-PL"/>
        </w:rPr>
      </w:pPr>
    </w:p>
    <w:p w14:paraId="2326F2C6" w14:textId="77777777" w:rsidR="00877A35" w:rsidRPr="005B0B70" w:rsidRDefault="00877A35" w:rsidP="00877A35">
      <w:pPr>
        <w:tabs>
          <w:tab w:val="num" w:pos="426"/>
        </w:tabs>
        <w:spacing w:before="120" w:after="0" w:line="240" w:lineRule="auto"/>
        <w:rPr>
          <w:rFonts w:ascii="Cambria" w:eastAsia="Times New Roman" w:hAnsi="Cambria" w:cs="Times New Roman"/>
          <w:b/>
          <w:sz w:val="24"/>
          <w:szCs w:val="20"/>
          <w:u w:val="single"/>
          <w:lang w:eastAsia="pl-PL"/>
        </w:rPr>
      </w:pPr>
      <w:r w:rsidRPr="005B0B70">
        <w:rPr>
          <w:rFonts w:ascii="Cambria" w:eastAsia="Times New Roman" w:hAnsi="Cambria" w:cs="Times New Roman"/>
          <w:b/>
          <w:sz w:val="24"/>
          <w:szCs w:val="20"/>
          <w:u w:val="single"/>
          <w:lang w:eastAsia="pl-PL"/>
        </w:rPr>
        <w:t xml:space="preserve">IV.  Wymagania dotyczące kompletacji autobusów </w:t>
      </w:r>
    </w:p>
    <w:p w14:paraId="283C588B" w14:textId="77777777" w:rsidR="00877A35" w:rsidRPr="005B0B70" w:rsidRDefault="00877A35" w:rsidP="00877A35">
      <w:pPr>
        <w:tabs>
          <w:tab w:val="num" w:pos="426"/>
        </w:tabs>
        <w:spacing w:after="0" w:line="240" w:lineRule="auto"/>
        <w:jc w:val="both"/>
        <w:rPr>
          <w:rFonts w:ascii="Cambria" w:eastAsia="Times New Roman" w:hAnsi="Cambria" w:cs="Times New Roman"/>
          <w:bCs/>
          <w:szCs w:val="20"/>
          <w:lang w:eastAsia="pl-PL"/>
        </w:rPr>
      </w:pPr>
    </w:p>
    <w:tbl>
      <w:tblPr>
        <w:tblW w:w="1020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79"/>
        <w:gridCol w:w="1946"/>
        <w:gridCol w:w="7882"/>
      </w:tblGrid>
      <w:tr w:rsidR="005B0B70" w:rsidRPr="005B0B70" w14:paraId="16FF0525" w14:textId="77777777" w:rsidTr="008B1FA0">
        <w:trPr>
          <w:tblHeader/>
        </w:trPr>
        <w:tc>
          <w:tcPr>
            <w:tcW w:w="379" w:type="dxa"/>
          </w:tcPr>
          <w:p w14:paraId="2E1D9255" w14:textId="77777777" w:rsidR="00877A35" w:rsidRPr="005B0B70" w:rsidRDefault="00877A35" w:rsidP="00877A35">
            <w:pPr>
              <w:spacing w:after="0" w:line="240" w:lineRule="auto"/>
              <w:jc w:val="center"/>
              <w:rPr>
                <w:rFonts w:ascii="Cambria" w:eastAsia="Times New Roman" w:hAnsi="Cambria" w:cs="Times New Roman"/>
                <w:b/>
                <w:sz w:val="20"/>
                <w:szCs w:val="20"/>
                <w:lang w:eastAsia="pl-PL"/>
              </w:rPr>
            </w:pPr>
            <w:r w:rsidRPr="005B0B70">
              <w:rPr>
                <w:rFonts w:ascii="Cambria" w:eastAsia="Times New Roman" w:hAnsi="Cambria" w:cs="Times New Roman"/>
                <w:b/>
                <w:sz w:val="20"/>
                <w:szCs w:val="20"/>
                <w:lang w:eastAsia="pl-PL"/>
              </w:rPr>
              <w:t>lp.</w:t>
            </w:r>
          </w:p>
        </w:tc>
        <w:tc>
          <w:tcPr>
            <w:tcW w:w="1946" w:type="dxa"/>
          </w:tcPr>
          <w:p w14:paraId="3F838572"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zespół, instalacja</w:t>
            </w:r>
          </w:p>
        </w:tc>
        <w:tc>
          <w:tcPr>
            <w:tcW w:w="7882" w:type="dxa"/>
          </w:tcPr>
          <w:p w14:paraId="33A33397" w14:textId="77777777" w:rsidR="00877A35" w:rsidRPr="005B0B70" w:rsidRDefault="00877A35" w:rsidP="00877A35">
            <w:pPr>
              <w:spacing w:after="0" w:line="240" w:lineRule="auto"/>
              <w:jc w:val="center"/>
              <w:rPr>
                <w:rFonts w:ascii="Cambria" w:eastAsia="Times New Roman" w:hAnsi="Cambria" w:cs="Times New Roman"/>
                <w:b/>
                <w:szCs w:val="20"/>
                <w:lang w:eastAsia="pl-PL"/>
              </w:rPr>
            </w:pPr>
            <w:r w:rsidRPr="005B0B70">
              <w:rPr>
                <w:rFonts w:ascii="Cambria" w:eastAsia="Times New Roman" w:hAnsi="Cambria" w:cs="Times New Roman"/>
                <w:b/>
                <w:szCs w:val="20"/>
                <w:lang w:eastAsia="pl-PL"/>
              </w:rPr>
              <w:t>wymagania</w:t>
            </w:r>
          </w:p>
        </w:tc>
      </w:tr>
      <w:tr w:rsidR="005B0B70" w:rsidRPr="005B0B70" w14:paraId="3D4E5633" w14:textId="77777777" w:rsidTr="008B1FA0">
        <w:tc>
          <w:tcPr>
            <w:tcW w:w="379" w:type="dxa"/>
          </w:tcPr>
          <w:p w14:paraId="50751563"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36C2529A" w14:textId="793A1046" w:rsidR="00877A35" w:rsidRPr="005B0B70" w:rsidRDefault="00540BF5" w:rsidP="00877A35">
            <w:pPr>
              <w:spacing w:after="0" w:line="240" w:lineRule="auto"/>
              <w:ind w:left="283" w:hanging="283"/>
              <w:rPr>
                <w:rFonts w:ascii="Cambria" w:eastAsia="Times New Roman" w:hAnsi="Cambria" w:cs="Times New Roman"/>
                <w:lang w:eastAsia="pl-PL"/>
              </w:rPr>
            </w:pPr>
            <w:r w:rsidRPr="005B0B70">
              <w:rPr>
                <w:rFonts w:ascii="Cambria" w:eastAsia="Times New Roman" w:hAnsi="Cambria" w:cs="Times New Roman"/>
                <w:lang w:eastAsia="pl-PL"/>
              </w:rPr>
              <w:t>S</w:t>
            </w:r>
            <w:r w:rsidR="00877A35" w:rsidRPr="005B0B70">
              <w:rPr>
                <w:rFonts w:ascii="Cambria" w:eastAsia="Times New Roman" w:hAnsi="Cambria" w:cs="Times New Roman"/>
                <w:lang w:eastAsia="pl-PL"/>
              </w:rPr>
              <w:t>ilnik</w:t>
            </w:r>
            <w:r w:rsidRPr="005B0B70">
              <w:rPr>
                <w:rFonts w:ascii="Cambria" w:eastAsia="Times New Roman" w:hAnsi="Cambria" w:cs="Times New Roman"/>
                <w:lang w:eastAsia="pl-PL"/>
              </w:rPr>
              <w:t>/silniki</w:t>
            </w:r>
            <w:r w:rsidR="00877A35" w:rsidRPr="005B0B70">
              <w:rPr>
                <w:rFonts w:ascii="Cambria" w:eastAsia="Times New Roman" w:hAnsi="Cambria" w:cs="Times New Roman"/>
                <w:lang w:eastAsia="pl-PL"/>
              </w:rPr>
              <w:t xml:space="preserve"> trakcyjn</w:t>
            </w:r>
            <w:r w:rsidRPr="005B0B70">
              <w:rPr>
                <w:rFonts w:ascii="Cambria" w:eastAsia="Times New Roman" w:hAnsi="Cambria" w:cs="Times New Roman"/>
                <w:lang w:eastAsia="pl-PL"/>
              </w:rPr>
              <w:t>e</w:t>
            </w:r>
            <w:r w:rsidR="00877A35" w:rsidRPr="005B0B70">
              <w:rPr>
                <w:rFonts w:ascii="Cambria" w:eastAsia="Times New Roman" w:hAnsi="Cambria" w:cs="Times New Roman"/>
                <w:lang w:eastAsia="pl-PL"/>
              </w:rPr>
              <w:t>, napęd</w:t>
            </w:r>
            <w:r w:rsidR="0000204C" w:rsidRPr="005B0B70">
              <w:rPr>
                <w:rFonts w:ascii="Cambria" w:eastAsia="Times New Roman" w:hAnsi="Cambria" w:cs="Times New Roman"/>
                <w:lang w:eastAsia="pl-PL"/>
              </w:rPr>
              <w:t xml:space="preserve"> </w:t>
            </w:r>
          </w:p>
        </w:tc>
        <w:tc>
          <w:tcPr>
            <w:tcW w:w="7882" w:type="dxa"/>
          </w:tcPr>
          <w:p w14:paraId="122C7766" w14:textId="106792A3" w:rsidR="00540BF5" w:rsidRPr="005B0B70" w:rsidRDefault="00877A35" w:rsidP="00DA235D">
            <w:pPr>
              <w:numPr>
                <w:ilvl w:val="0"/>
                <w:numId w:val="17"/>
              </w:numPr>
              <w:spacing w:after="0" w:line="240" w:lineRule="auto"/>
              <w:ind w:left="292" w:hanging="292"/>
              <w:contextualSpacing/>
              <w:jc w:val="both"/>
              <w:rPr>
                <w:rFonts w:ascii="Cambria" w:eastAsia="Times New Roman" w:hAnsi="Cambria" w:cs="Times New Roman"/>
                <w:szCs w:val="20"/>
                <w:lang w:eastAsia="pl-PL"/>
              </w:rPr>
            </w:pPr>
            <w:r w:rsidRPr="005B0B70">
              <w:rPr>
                <w:rFonts w:ascii="Cambria" w:eastAsia="Times New Roman" w:hAnsi="Cambria" w:cs="Times New Roman"/>
                <w:lang w:eastAsia="pl-PL"/>
              </w:rPr>
              <w:t>silnik elektryczny centralny</w:t>
            </w:r>
            <w:r w:rsidR="00540BF5" w:rsidRPr="005B0B70">
              <w:rPr>
                <w:rFonts w:ascii="Cambria" w:eastAsia="Times New Roman" w:hAnsi="Cambria" w:cs="Times New Roman"/>
                <w:lang w:eastAsia="pl-PL"/>
              </w:rPr>
              <w:t xml:space="preserve"> lub silniki elektryczne zintegrowane z osią napędową</w:t>
            </w:r>
            <w:r w:rsidR="00DE3260" w:rsidRPr="005B0B70">
              <w:rPr>
                <w:rFonts w:ascii="Cambria" w:eastAsia="Times New Roman" w:hAnsi="Cambria" w:cs="Times New Roman"/>
                <w:lang w:eastAsia="pl-PL"/>
              </w:rPr>
              <w:t xml:space="preserve">; </w:t>
            </w:r>
          </w:p>
          <w:p w14:paraId="57E7BD67" w14:textId="53358071" w:rsidR="00877A35" w:rsidRPr="005B0B70" w:rsidRDefault="00540BF5" w:rsidP="00DA235D">
            <w:pPr>
              <w:numPr>
                <w:ilvl w:val="0"/>
                <w:numId w:val="17"/>
              </w:numPr>
              <w:spacing w:after="0" w:line="240" w:lineRule="auto"/>
              <w:ind w:left="292" w:hanging="292"/>
              <w:contextualSpacing/>
              <w:jc w:val="both"/>
              <w:rPr>
                <w:rFonts w:ascii="Cambria" w:eastAsia="Times New Roman" w:hAnsi="Cambria" w:cs="Times New Roman"/>
                <w:szCs w:val="20"/>
                <w:lang w:eastAsia="pl-PL"/>
              </w:rPr>
            </w:pPr>
            <w:r w:rsidRPr="005B0B70">
              <w:rPr>
                <w:rFonts w:ascii="Cambria" w:eastAsia="Times New Roman" w:hAnsi="Cambria" w:cs="Times New Roman"/>
                <w:lang w:eastAsia="pl-PL"/>
              </w:rPr>
              <w:t>w prz</w:t>
            </w:r>
            <w:r w:rsidR="00C3707F" w:rsidRPr="005B0B70">
              <w:rPr>
                <w:rFonts w:ascii="Cambria" w:eastAsia="Times New Roman" w:hAnsi="Cambria" w:cs="Times New Roman"/>
                <w:lang w:eastAsia="pl-PL"/>
              </w:rPr>
              <w:t>ypadku zastosowaniu dwóch osi napędowych</w:t>
            </w:r>
            <w:r w:rsidR="00C3707F" w:rsidRPr="005B0B70">
              <w:rPr>
                <w:rStyle w:val="Odwoanieprzypisudolnego"/>
                <w:rFonts w:ascii="Cambria" w:eastAsia="Times New Roman" w:hAnsi="Cambria" w:cs="Times New Roman"/>
                <w:lang w:eastAsia="pl-PL"/>
              </w:rPr>
              <w:footnoteReference w:id="5"/>
            </w:r>
            <w:r w:rsidR="00C3707F" w:rsidRPr="005B0B70">
              <w:rPr>
                <w:rFonts w:ascii="Cambria" w:eastAsia="Times New Roman" w:hAnsi="Cambria" w:cs="Times New Roman"/>
                <w:lang w:eastAsia="pl-PL"/>
              </w:rPr>
              <w:t xml:space="preserve"> rozwiązania muszą być ujednolicone dla obu osi napędzanych (taki sam typ napędu na obu osiach)</w:t>
            </w:r>
            <w:r w:rsidR="00DE3260" w:rsidRPr="005B0B70">
              <w:rPr>
                <w:rFonts w:ascii="Cambria" w:eastAsia="Times New Roman" w:hAnsi="Cambria" w:cs="Times New Roman"/>
                <w:lang w:eastAsia="pl-PL"/>
              </w:rPr>
              <w:t>;</w:t>
            </w:r>
            <w:r w:rsidR="00C3707F" w:rsidRPr="005B0B70">
              <w:rPr>
                <w:rFonts w:ascii="Cambria" w:eastAsia="Times New Roman" w:hAnsi="Cambria" w:cs="Times New Roman"/>
                <w:lang w:eastAsia="pl-PL"/>
              </w:rPr>
              <w:t xml:space="preserve"> </w:t>
            </w:r>
            <w:r w:rsidR="0090148C" w:rsidRPr="005B0B70">
              <w:rPr>
                <w:rFonts w:ascii="Cambria" w:eastAsia="Times New Roman" w:hAnsi="Cambria" w:cs="Times New Roman"/>
                <w:lang w:eastAsia="pl-PL"/>
              </w:rPr>
              <w:t xml:space="preserve"> </w:t>
            </w:r>
          </w:p>
          <w:p w14:paraId="705A01FD" w14:textId="5D077D1D" w:rsidR="00877A35" w:rsidRPr="005B0B70" w:rsidRDefault="00877A35" w:rsidP="00DA235D">
            <w:pPr>
              <w:numPr>
                <w:ilvl w:val="0"/>
                <w:numId w:val="17"/>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maksymalna moc netto silnika lub zespołu silników nie mniejsza niż </w:t>
            </w:r>
            <w:r w:rsidR="00A44004" w:rsidRPr="005B0B70">
              <w:rPr>
                <w:rFonts w:ascii="Cambria" w:eastAsia="Times New Roman" w:hAnsi="Cambria" w:cs="Times New Roman"/>
                <w:lang w:eastAsia="pl-PL"/>
              </w:rPr>
              <w:t>240 kW</w:t>
            </w:r>
            <w:r w:rsidR="00DE3260" w:rsidRPr="005B0B70">
              <w:rPr>
                <w:rFonts w:ascii="Cambria" w:eastAsia="Times New Roman" w:hAnsi="Cambria" w:cs="Times New Roman"/>
                <w:lang w:eastAsia="pl-PL"/>
              </w:rPr>
              <w:t>;</w:t>
            </w:r>
          </w:p>
          <w:p w14:paraId="480B447D" w14:textId="3B59B281" w:rsidR="00877A35" w:rsidRPr="005B0B70" w:rsidRDefault="00877A35" w:rsidP="00DA235D">
            <w:pPr>
              <w:numPr>
                <w:ilvl w:val="0"/>
                <w:numId w:val="17"/>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zalecane chłodzenie silnika(ów) cieczą</w:t>
            </w:r>
            <w:r w:rsidR="00DE3260" w:rsidRPr="005B0B70">
              <w:rPr>
                <w:rFonts w:ascii="Cambria" w:eastAsia="Times New Roman" w:hAnsi="Cambria" w:cs="Times New Roman"/>
                <w:lang w:eastAsia="pl-PL"/>
              </w:rPr>
              <w:t>;</w:t>
            </w:r>
          </w:p>
          <w:p w14:paraId="734F59BB" w14:textId="5A2346EE" w:rsidR="00877A35" w:rsidRPr="005B0B70" w:rsidRDefault="00877A35" w:rsidP="00DA235D">
            <w:pPr>
              <w:numPr>
                <w:ilvl w:val="0"/>
                <w:numId w:val="17"/>
              </w:numPr>
              <w:spacing w:after="0" w:line="240" w:lineRule="auto"/>
              <w:ind w:left="292" w:hanging="292"/>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możliwość eksploatacji w temperaturze zewnętrznej od – 30°C do 50°C</w:t>
            </w:r>
            <w:r w:rsidR="00DE3260" w:rsidRPr="005B0B70">
              <w:rPr>
                <w:rFonts w:ascii="Cambria" w:eastAsia="Times New Roman" w:hAnsi="Cambria" w:cs="Times New Roman"/>
                <w:szCs w:val="20"/>
                <w:lang w:eastAsia="pl-PL"/>
              </w:rPr>
              <w:t>;</w:t>
            </w:r>
          </w:p>
          <w:p w14:paraId="46325178" w14:textId="0298A2C6" w:rsidR="00877A35" w:rsidRPr="005B0B70" w:rsidRDefault="00877A35" w:rsidP="00DA235D">
            <w:pPr>
              <w:numPr>
                <w:ilvl w:val="0"/>
                <w:numId w:val="17"/>
              </w:numPr>
              <w:spacing w:after="0" w:line="240" w:lineRule="auto"/>
              <w:ind w:left="292" w:hanging="292"/>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zalecane wyposażenie układu sterującego pracą silnika trakcyjnego w funkcję ograniczenia prędkości maksymalnej autobusu do prędkości 80 km/</w:t>
            </w:r>
            <w:r w:rsidR="00A55C61" w:rsidRPr="005B0B70">
              <w:rPr>
                <w:rFonts w:ascii="Cambria" w:eastAsia="Times New Roman" w:hAnsi="Cambria" w:cs="Times New Roman"/>
                <w:szCs w:val="20"/>
                <w:lang w:eastAsia="pl-PL"/>
              </w:rPr>
              <w:t>h</w:t>
            </w:r>
            <w:r w:rsidR="00DE3260" w:rsidRPr="005B0B70">
              <w:rPr>
                <w:rFonts w:ascii="Cambria" w:eastAsia="Times New Roman" w:hAnsi="Cambria" w:cs="Times New Roman"/>
                <w:szCs w:val="20"/>
                <w:lang w:eastAsia="pl-PL"/>
              </w:rPr>
              <w:t>;</w:t>
            </w:r>
          </w:p>
          <w:p w14:paraId="136C5039" w14:textId="6F92778C" w:rsidR="00877A35" w:rsidRPr="005B0B70" w:rsidRDefault="00877A35" w:rsidP="00DA235D">
            <w:pPr>
              <w:numPr>
                <w:ilvl w:val="0"/>
                <w:numId w:val="17"/>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szCs w:val="20"/>
                <w:lang w:eastAsia="pl-PL"/>
              </w:rPr>
              <w:t>zaleca się wykonanie z wykorzystaniem technologii zmniejszających zużycie energii np. poprzez zwiększenie sprawności silnik</w:t>
            </w:r>
            <w:r w:rsidR="00CA4BF3" w:rsidRPr="005B0B70">
              <w:rPr>
                <w:rFonts w:ascii="Cambria" w:eastAsia="Times New Roman" w:hAnsi="Cambria" w:cs="Times New Roman"/>
                <w:szCs w:val="20"/>
                <w:lang w:eastAsia="pl-PL"/>
              </w:rPr>
              <w:t>a</w:t>
            </w:r>
            <w:r w:rsidR="00C3707F" w:rsidRPr="005B0B70">
              <w:rPr>
                <w:rFonts w:ascii="Cambria" w:eastAsia="Times New Roman" w:hAnsi="Cambria" w:cs="Times New Roman"/>
                <w:szCs w:val="20"/>
                <w:lang w:eastAsia="pl-PL"/>
              </w:rPr>
              <w:t>/silników</w:t>
            </w:r>
            <w:r w:rsidR="00DE3260" w:rsidRPr="005B0B70">
              <w:rPr>
                <w:rFonts w:ascii="Cambria" w:eastAsia="Times New Roman" w:hAnsi="Cambria" w:cs="Times New Roman"/>
                <w:szCs w:val="20"/>
                <w:lang w:eastAsia="pl-PL"/>
              </w:rPr>
              <w:t>;</w:t>
            </w:r>
            <w:r w:rsidR="00CA4BF3" w:rsidRPr="005B0B70">
              <w:rPr>
                <w:rFonts w:ascii="Cambria" w:eastAsia="Times New Roman" w:hAnsi="Cambria" w:cs="Times New Roman"/>
                <w:szCs w:val="20"/>
                <w:lang w:eastAsia="pl-PL"/>
              </w:rPr>
              <w:t xml:space="preserve"> trakcyjnego</w:t>
            </w:r>
            <w:r w:rsidR="00C3707F" w:rsidRPr="005B0B70">
              <w:rPr>
                <w:rFonts w:ascii="Cambria" w:eastAsia="Times New Roman" w:hAnsi="Cambria" w:cs="Times New Roman"/>
                <w:szCs w:val="20"/>
                <w:lang w:eastAsia="pl-PL"/>
              </w:rPr>
              <w:t>/trakcyjnych</w:t>
            </w:r>
            <w:r w:rsidRPr="005B0B70">
              <w:rPr>
                <w:rFonts w:ascii="Cambria" w:eastAsia="Times New Roman" w:hAnsi="Cambria" w:cs="Times New Roman"/>
                <w:szCs w:val="20"/>
                <w:lang w:eastAsia="pl-PL"/>
              </w:rPr>
              <w:t xml:space="preserve">, przetwornicy, zmniejszenie wymiarów i masy; </w:t>
            </w:r>
          </w:p>
        </w:tc>
      </w:tr>
      <w:tr w:rsidR="005B0B70" w:rsidRPr="005B0B70" w14:paraId="6625EAE2" w14:textId="77777777" w:rsidTr="008B1FA0">
        <w:tc>
          <w:tcPr>
            <w:tcW w:w="379" w:type="dxa"/>
          </w:tcPr>
          <w:p w14:paraId="014DC4EA"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F87E514" w14:textId="12FC5524" w:rsidR="00877A35" w:rsidRPr="005B0B70" w:rsidRDefault="009F5270" w:rsidP="00877A35">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A</w:t>
            </w:r>
            <w:r w:rsidR="00877A35" w:rsidRPr="005B0B70">
              <w:rPr>
                <w:rFonts w:ascii="Cambria" w:eastAsia="Times New Roman" w:hAnsi="Cambria" w:cs="Times New Roman"/>
                <w:lang w:eastAsia="pl-PL"/>
              </w:rPr>
              <w:t>kumulatory trakcyjne</w:t>
            </w:r>
          </w:p>
          <w:p w14:paraId="3B6C0037" w14:textId="77777777" w:rsidR="00877A35" w:rsidRPr="005B0B70" w:rsidRDefault="00877A35" w:rsidP="00877A35">
            <w:pPr>
              <w:spacing w:after="0" w:line="240" w:lineRule="auto"/>
              <w:rPr>
                <w:rFonts w:ascii="Cambria" w:eastAsia="Times New Roman" w:hAnsi="Cambria" w:cs="Times New Roman"/>
                <w:lang w:eastAsia="pl-PL"/>
              </w:rPr>
            </w:pPr>
          </w:p>
        </w:tc>
        <w:tc>
          <w:tcPr>
            <w:tcW w:w="7882" w:type="dxa"/>
          </w:tcPr>
          <w:p w14:paraId="39511C0E" w14:textId="2FA6B94D"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typ baterii: baterie litowo-jonowe (baterie o dużej pojemności energetycznej)</w:t>
            </w:r>
            <w:r w:rsidR="00DE3260" w:rsidRPr="005B0B70">
              <w:rPr>
                <w:rFonts w:ascii="Cambria" w:eastAsia="Times New Roman" w:hAnsi="Cambria" w:cs="Times New Roman"/>
                <w:lang w:eastAsia="pl-PL"/>
              </w:rPr>
              <w:t>;</w:t>
            </w:r>
          </w:p>
          <w:p w14:paraId="77AE0D9D" w14:textId="6429B8E3"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zalecane baterie z układem chłodzenia</w:t>
            </w:r>
            <w:r w:rsidR="00DE3260" w:rsidRPr="005B0B70">
              <w:rPr>
                <w:rFonts w:ascii="Cambria" w:eastAsia="Times New Roman" w:hAnsi="Cambria" w:cs="Times New Roman"/>
                <w:lang w:eastAsia="pl-PL"/>
              </w:rPr>
              <w:t>;</w:t>
            </w:r>
          </w:p>
          <w:p w14:paraId="6B4D39A4" w14:textId="2BF7527B"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deklarowana </w:t>
            </w:r>
            <w:r w:rsidR="00077D84" w:rsidRPr="005B0B70">
              <w:rPr>
                <w:rFonts w:ascii="Cambria" w:eastAsia="Times New Roman" w:hAnsi="Cambria" w:cs="Times New Roman"/>
                <w:lang w:eastAsia="pl-PL"/>
              </w:rPr>
              <w:t>użytkowa</w:t>
            </w:r>
            <w:r w:rsidRPr="005B0B70">
              <w:rPr>
                <w:rFonts w:ascii="Cambria" w:eastAsia="Times New Roman" w:hAnsi="Cambria" w:cs="Times New Roman"/>
                <w:lang w:eastAsia="pl-PL"/>
              </w:rPr>
              <w:t xml:space="preserve"> pojemność energetyczna baterii trakcyjnych: min 600 kWh (za </w:t>
            </w:r>
            <w:r w:rsidR="00077D84" w:rsidRPr="005B0B70">
              <w:rPr>
                <w:rFonts w:ascii="Cambria" w:eastAsia="Times New Roman" w:hAnsi="Cambria" w:cs="Times New Roman"/>
                <w:lang w:eastAsia="pl-PL"/>
              </w:rPr>
              <w:t>użytkową</w:t>
            </w:r>
            <w:r w:rsidRPr="005B0B70">
              <w:rPr>
                <w:rFonts w:ascii="Cambria" w:eastAsia="Times New Roman" w:hAnsi="Cambria" w:cs="Times New Roman"/>
                <w:lang w:eastAsia="pl-PL"/>
              </w:rPr>
              <w:t xml:space="preserve"> </w:t>
            </w:r>
            <w:r w:rsidR="00077D84" w:rsidRPr="005B0B70">
              <w:rPr>
                <w:rFonts w:ascii="Cambria" w:eastAsia="Times New Roman" w:hAnsi="Cambria" w:cs="Times New Roman"/>
                <w:lang w:eastAsia="pl-PL"/>
              </w:rPr>
              <w:t>pojemność</w:t>
            </w:r>
            <w:r w:rsidRPr="005B0B70">
              <w:rPr>
                <w:rFonts w:ascii="Cambria" w:eastAsia="Times New Roman" w:hAnsi="Cambria" w:cs="Times New Roman"/>
                <w:lang w:eastAsia="pl-PL"/>
              </w:rPr>
              <w:t xml:space="preserve"> uważa się pojemność energetyczną </w:t>
            </w:r>
            <w:r w:rsidR="00A55C61" w:rsidRPr="005B0B70">
              <w:rPr>
                <w:rFonts w:ascii="Cambria" w:eastAsia="Times New Roman" w:hAnsi="Cambria" w:cs="Times New Roman"/>
                <w:lang w:eastAsia="pl-PL"/>
              </w:rPr>
              <w:t>całkowicie dostępną dla użytkownika), pozwalające na uzyskanie zasięgu na jednym ładowaniu niemniejszego niż 300km</w:t>
            </w:r>
            <w:r w:rsidR="00A55C61" w:rsidRPr="005B0B70">
              <w:rPr>
                <w:rStyle w:val="Odwoanieprzypisudolnego"/>
                <w:rFonts w:ascii="Cambria" w:eastAsia="Times New Roman" w:hAnsi="Cambria" w:cs="Times New Roman"/>
                <w:lang w:eastAsia="pl-PL"/>
              </w:rPr>
              <w:footnoteReference w:id="6"/>
            </w:r>
            <w:r w:rsidR="00F60017" w:rsidRPr="005B0B70">
              <w:rPr>
                <w:rFonts w:ascii="Cambria" w:eastAsia="Times New Roman" w:hAnsi="Cambria" w:cs="Times New Roman"/>
                <w:lang w:eastAsia="pl-PL"/>
              </w:rPr>
              <w:t>. Zamawiający do celów obliczeniowych przyjmuje, że wartość użytkowej pojemności energetycznej będzie wynosić nie więcej niż 80% wartości pojemności nominalnej baterii trakcyjnych</w:t>
            </w:r>
            <w:r w:rsidR="00DE3260" w:rsidRPr="005B0B70">
              <w:rPr>
                <w:rFonts w:ascii="Cambria" w:eastAsia="Times New Roman" w:hAnsi="Cambria" w:cs="Times New Roman"/>
                <w:lang w:eastAsia="pl-PL"/>
              </w:rPr>
              <w:t>;</w:t>
            </w:r>
          </w:p>
          <w:p w14:paraId="15352036" w14:textId="68D2F940" w:rsidR="001F3B96" w:rsidRPr="005B0B70" w:rsidRDefault="001F3B96" w:rsidP="00DA235D">
            <w:pPr>
              <w:numPr>
                <w:ilvl w:val="0"/>
                <w:numId w:val="20"/>
              </w:numPr>
              <w:spacing w:after="0" w:line="240" w:lineRule="auto"/>
              <w:ind w:left="298" w:hanging="298"/>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Wykonawca zadeklaruje w ofercie gwarantowany </w:t>
            </w:r>
            <w:r w:rsidR="00A45EB8" w:rsidRPr="005B0B70">
              <w:rPr>
                <w:rFonts w:ascii="Cambria" w:eastAsia="Times New Roman" w:hAnsi="Cambria" w:cs="Times New Roman"/>
                <w:lang w:eastAsia="pl-PL"/>
              </w:rPr>
              <w:t>minimalny przebieg</w:t>
            </w:r>
            <w:r w:rsidRPr="005B0B70">
              <w:rPr>
                <w:rFonts w:ascii="Cambria" w:eastAsia="Times New Roman" w:hAnsi="Cambria" w:cs="Times New Roman"/>
                <w:lang w:eastAsia="pl-PL"/>
              </w:rPr>
              <w:t xml:space="preserve"> autobusu </w:t>
            </w:r>
            <w:r w:rsidR="00A45EB8" w:rsidRPr="005B0B70">
              <w:rPr>
                <w:rFonts w:ascii="Cambria" w:eastAsia="Times New Roman" w:hAnsi="Cambria" w:cs="Times New Roman"/>
                <w:lang w:eastAsia="pl-PL"/>
              </w:rPr>
              <w:t>(nie</w:t>
            </w:r>
            <w:r w:rsidRPr="005B0B70">
              <w:rPr>
                <w:rFonts w:ascii="Cambria" w:eastAsia="Times New Roman" w:hAnsi="Cambria" w:cs="Times New Roman"/>
                <w:lang w:eastAsia="pl-PL"/>
              </w:rPr>
              <w:t xml:space="preserve"> mniejszy jak 300 </w:t>
            </w:r>
            <w:r w:rsidR="00A45EB8" w:rsidRPr="005B0B70">
              <w:rPr>
                <w:rFonts w:ascii="Cambria" w:eastAsia="Times New Roman" w:hAnsi="Cambria" w:cs="Times New Roman"/>
                <w:lang w:eastAsia="pl-PL"/>
              </w:rPr>
              <w:t>km) w</w:t>
            </w:r>
            <w:r w:rsidRPr="005B0B70">
              <w:rPr>
                <w:rFonts w:ascii="Cambria" w:eastAsia="Times New Roman" w:hAnsi="Cambria" w:cs="Times New Roman"/>
                <w:lang w:eastAsia="pl-PL"/>
              </w:rPr>
              <w:t xml:space="preserve"> okresie gwarancji na baterie trakcyjne, w warunkach eksploatacyjnych Zamawiającego (warunki eksploatacyjne zostały określone w SWZ Rozdział 18 „Opis kryteriów oceny ofert wraz z podaniem wag tych kryteriów i sposobu oceny ofert: pkt. 5.1.1</w:t>
            </w:r>
            <w:r w:rsidR="00DA235D" w:rsidRPr="005B0B70">
              <w:rPr>
                <w:rFonts w:ascii="Cambria" w:eastAsia="Times New Roman" w:hAnsi="Cambria" w:cs="Times New Roman"/>
                <w:lang w:eastAsia="pl-PL"/>
              </w:rPr>
              <w:t>”</w:t>
            </w:r>
            <w:r w:rsidRPr="005B0B70">
              <w:rPr>
                <w:rFonts w:ascii="Cambria" w:eastAsia="Times New Roman" w:hAnsi="Cambria" w:cs="Times New Roman"/>
                <w:lang w:eastAsia="pl-PL"/>
              </w:rPr>
              <w:t xml:space="preserve">); </w:t>
            </w:r>
          </w:p>
          <w:p w14:paraId="0CA9414B" w14:textId="77CB5122" w:rsidR="00877A35" w:rsidRPr="005B0B70" w:rsidRDefault="00217BBC"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t</w:t>
            </w:r>
            <w:r w:rsidR="00CA4BF3" w:rsidRPr="005B0B70">
              <w:rPr>
                <w:rFonts w:ascii="Cambria" w:eastAsia="Times New Roman" w:hAnsi="Cambria" w:cs="Times New Roman"/>
                <w:lang w:eastAsia="pl-PL"/>
              </w:rPr>
              <w:t xml:space="preserve">rwałość baterii trakcyjnej w okresie 10lat lub uzyskanie przebiegu 700.000km w zależności co nastąpi wcześniej: </w:t>
            </w:r>
            <w:r w:rsidR="00A44004" w:rsidRPr="005B0B70">
              <w:rPr>
                <w:rFonts w:ascii="Cambria" w:eastAsia="Times New Roman" w:hAnsi="Cambria" w:cs="Times New Roman"/>
                <w:lang w:eastAsia="pl-PL"/>
              </w:rPr>
              <w:t>lub do</w:t>
            </w:r>
            <w:r w:rsidR="00CA4BF3" w:rsidRPr="005B0B70">
              <w:rPr>
                <w:rFonts w:ascii="Cambria" w:eastAsia="Times New Roman" w:hAnsi="Cambria" w:cs="Times New Roman"/>
                <w:lang w:eastAsia="pl-PL"/>
              </w:rPr>
              <w:t xml:space="preserve"> spadku pojemności nie większej niż do poziomu 80% wartości początkowej, przy przebiegach rocznych autobusu ok. 70.000 km, przy ładowaniu mocą o wartości</w:t>
            </w:r>
            <w:r w:rsidRPr="005B0B70">
              <w:rPr>
                <w:rFonts w:ascii="Cambria" w:eastAsia="Times New Roman" w:hAnsi="Cambria" w:cs="Times New Roman"/>
                <w:lang w:eastAsia="pl-PL"/>
              </w:rPr>
              <w:t xml:space="preserve"> do</w:t>
            </w:r>
            <w:r w:rsidR="00CA4BF3" w:rsidRPr="005B0B70">
              <w:rPr>
                <w:rFonts w:ascii="Cambria" w:eastAsia="Times New Roman" w:hAnsi="Cambria" w:cs="Times New Roman"/>
                <w:lang w:eastAsia="pl-PL"/>
              </w:rPr>
              <w:t xml:space="preserve"> 1</w:t>
            </w:r>
            <w:r w:rsidRPr="005B0B70">
              <w:rPr>
                <w:rFonts w:ascii="Cambria" w:eastAsia="Times New Roman" w:hAnsi="Cambria" w:cs="Times New Roman"/>
                <w:lang w:eastAsia="pl-PL"/>
              </w:rPr>
              <w:t>5</w:t>
            </w:r>
            <w:r w:rsidR="00CA4BF3" w:rsidRPr="005B0B70">
              <w:rPr>
                <w:rFonts w:ascii="Cambria" w:eastAsia="Times New Roman" w:hAnsi="Cambria" w:cs="Times New Roman"/>
                <w:lang w:eastAsia="pl-PL"/>
              </w:rPr>
              <w:t>0 kW</w:t>
            </w:r>
            <w:r w:rsidR="00DE3260" w:rsidRPr="005B0B70">
              <w:rPr>
                <w:rFonts w:ascii="Cambria" w:eastAsia="Times New Roman" w:hAnsi="Cambria" w:cs="Times New Roman"/>
                <w:lang w:eastAsia="pl-PL"/>
              </w:rPr>
              <w:t>;</w:t>
            </w:r>
          </w:p>
          <w:p w14:paraId="7FD1E047" w14:textId="0E33ECF9" w:rsidR="00CA4BF3" w:rsidRPr="005B0B70" w:rsidRDefault="000E7646"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t</w:t>
            </w:r>
            <w:r w:rsidR="00CA4BF3" w:rsidRPr="005B0B70">
              <w:rPr>
                <w:rFonts w:ascii="Cambria" w:eastAsia="Times New Roman" w:hAnsi="Cambria" w:cs="Times New Roman"/>
                <w:lang w:eastAsia="pl-PL"/>
              </w:rPr>
              <w:t>rwałość baterii trakcyjnej w okresie od 1</w:t>
            </w:r>
            <w:r w:rsidR="00217BBC" w:rsidRPr="005B0B70">
              <w:rPr>
                <w:rFonts w:ascii="Cambria" w:eastAsia="Times New Roman" w:hAnsi="Cambria" w:cs="Times New Roman"/>
                <w:lang w:eastAsia="pl-PL"/>
              </w:rPr>
              <w:t>0</w:t>
            </w:r>
            <w:r w:rsidR="00CA4BF3" w:rsidRPr="005B0B70">
              <w:rPr>
                <w:rFonts w:ascii="Cambria" w:eastAsia="Times New Roman" w:hAnsi="Cambria" w:cs="Times New Roman"/>
                <w:lang w:eastAsia="pl-PL"/>
              </w:rPr>
              <w:t xml:space="preserve"> roku do 15 roku eksploatacji</w:t>
            </w:r>
            <w:r w:rsidR="00CA4BF3" w:rsidRPr="005B0B70">
              <w:rPr>
                <w:rStyle w:val="Odwoanieprzypisudolnego"/>
                <w:rFonts w:ascii="Cambria" w:eastAsia="Times New Roman" w:hAnsi="Cambria" w:cs="Times New Roman"/>
                <w:lang w:eastAsia="pl-PL"/>
              </w:rPr>
              <w:footnoteReference w:id="7"/>
            </w:r>
            <w:r w:rsidR="00CA4BF3" w:rsidRPr="005B0B70">
              <w:rPr>
                <w:rFonts w:ascii="Cambria" w:eastAsia="Times New Roman" w:hAnsi="Cambria" w:cs="Times New Roman"/>
                <w:lang w:eastAsia="pl-PL"/>
              </w:rPr>
              <w:t>; do spadku pojemności baterii trakcyjnej nie większej niż do poziomu 70% wartości początkowej uzyskanie zasięgu na jednym ładowaniu niemniejszego niż 1</w:t>
            </w:r>
            <w:r w:rsidRPr="005B0B70">
              <w:rPr>
                <w:rFonts w:ascii="Cambria" w:eastAsia="Times New Roman" w:hAnsi="Cambria" w:cs="Times New Roman"/>
                <w:lang w:eastAsia="pl-PL"/>
              </w:rPr>
              <w:t>9</w:t>
            </w:r>
            <w:r w:rsidR="00CA4BF3" w:rsidRPr="005B0B70">
              <w:rPr>
                <w:rFonts w:ascii="Cambria" w:eastAsia="Times New Roman" w:hAnsi="Cambria" w:cs="Times New Roman"/>
                <w:lang w:eastAsia="pl-PL"/>
              </w:rPr>
              <w:t>0km ww. okresie</w:t>
            </w:r>
            <w:r w:rsidR="00DE3260" w:rsidRPr="005B0B70">
              <w:rPr>
                <w:rFonts w:ascii="Cambria" w:eastAsia="Times New Roman" w:hAnsi="Cambria" w:cs="Times New Roman"/>
                <w:lang w:eastAsia="pl-PL"/>
              </w:rPr>
              <w:t>;</w:t>
            </w:r>
          </w:p>
          <w:p w14:paraId="543A7F56" w14:textId="71D3F7F7"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strike/>
                <w:lang w:eastAsia="pl-PL"/>
              </w:rPr>
            </w:pPr>
            <w:r w:rsidRPr="005B0B70">
              <w:rPr>
                <w:rFonts w:ascii="Cambria" w:eastAsia="Times New Roman" w:hAnsi="Cambria" w:cs="Times New Roman"/>
                <w:lang w:eastAsia="pl-PL"/>
              </w:rPr>
              <w:t>Wykonawca zapewni możliwość weryfikacji pojemności baterii trakcyjnych</w:t>
            </w:r>
            <w:r w:rsidR="00DE3260" w:rsidRPr="005B0B70">
              <w:rPr>
                <w:rFonts w:ascii="Cambria" w:eastAsia="Times New Roman" w:hAnsi="Cambria" w:cs="Times New Roman"/>
                <w:lang w:eastAsia="pl-PL"/>
              </w:rPr>
              <w:t>;</w:t>
            </w:r>
          </w:p>
          <w:p w14:paraId="6333DCB5" w14:textId="4190FA02"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układ elektrycznego zasilania dostosowany do warunków eksploatacji w klimacie środkowoeuropejskim, dostosowany do parkowania (przechowywania) autobusów na zewnętrznym placu postojowym przez cały rok</w:t>
            </w:r>
            <w:r w:rsidR="00DE3260" w:rsidRPr="005B0B70">
              <w:rPr>
                <w:rFonts w:ascii="Cambria" w:eastAsia="Times New Roman" w:hAnsi="Cambria" w:cs="Times New Roman"/>
                <w:lang w:eastAsia="pl-PL"/>
              </w:rPr>
              <w:t>;</w:t>
            </w:r>
            <w:r w:rsidRPr="005B0B70">
              <w:rPr>
                <w:rFonts w:ascii="Cambria" w:eastAsia="Times New Roman" w:hAnsi="Cambria" w:cs="Times New Roman"/>
                <w:lang w:eastAsia="pl-PL"/>
              </w:rPr>
              <w:t xml:space="preserve"> </w:t>
            </w:r>
          </w:p>
          <w:p w14:paraId="57A6FD1F" w14:textId="254927F7"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zalecany system ogrzewania i chłodzenia baterii trakcyjnych, cieczowy włączony w system ogrzewania autobusu, dopuszcza się system cieczowy autonomiczny</w:t>
            </w:r>
            <w:r w:rsidR="00DE3260" w:rsidRPr="005B0B70">
              <w:rPr>
                <w:rFonts w:ascii="Cambria" w:eastAsia="Times New Roman" w:hAnsi="Cambria" w:cs="Times New Roman"/>
                <w:lang w:eastAsia="pl-PL"/>
              </w:rPr>
              <w:t>;</w:t>
            </w:r>
            <w:r w:rsidRPr="005B0B70">
              <w:rPr>
                <w:rFonts w:ascii="Cambria" w:eastAsia="Times New Roman" w:hAnsi="Cambria" w:cs="Times New Roman"/>
                <w:lang w:eastAsia="pl-PL"/>
              </w:rPr>
              <w:t xml:space="preserve">  </w:t>
            </w:r>
          </w:p>
          <w:p w14:paraId="3C496148" w14:textId="05960080" w:rsidR="00877A35" w:rsidRPr="005B0B70" w:rsidRDefault="00877A35" w:rsidP="00DA235D">
            <w:pPr>
              <w:numPr>
                <w:ilvl w:val="0"/>
                <w:numId w:val="20"/>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wymagana moc ładowania plug-in: </w:t>
            </w:r>
            <w:r w:rsidR="00C66C98" w:rsidRPr="005B0B70">
              <w:rPr>
                <w:rFonts w:ascii="Cambria" w:eastAsia="Times New Roman" w:hAnsi="Cambria" w:cs="Times New Roman"/>
                <w:lang w:eastAsia="pl-PL"/>
              </w:rPr>
              <w:t>do</w:t>
            </w:r>
            <w:r w:rsidRPr="005B0B70">
              <w:rPr>
                <w:rFonts w:ascii="Cambria" w:eastAsia="Times New Roman" w:hAnsi="Cambria" w:cs="Times New Roman"/>
                <w:lang w:eastAsia="pl-PL"/>
              </w:rPr>
              <w:t xml:space="preserve"> 1</w:t>
            </w:r>
            <w:r w:rsidR="000E7646" w:rsidRPr="005B0B70">
              <w:rPr>
                <w:rFonts w:ascii="Cambria" w:eastAsia="Times New Roman" w:hAnsi="Cambria" w:cs="Times New Roman"/>
                <w:lang w:eastAsia="pl-PL"/>
              </w:rPr>
              <w:t>5</w:t>
            </w:r>
            <w:r w:rsidRPr="005B0B70">
              <w:rPr>
                <w:rFonts w:ascii="Cambria" w:eastAsia="Times New Roman" w:hAnsi="Cambria" w:cs="Times New Roman"/>
                <w:lang w:eastAsia="pl-PL"/>
              </w:rPr>
              <w:t>0 kW</w:t>
            </w:r>
            <w:r w:rsidR="00DE3260" w:rsidRPr="005B0B70">
              <w:rPr>
                <w:rFonts w:ascii="Cambria" w:eastAsia="Times New Roman" w:hAnsi="Cambria" w:cs="Times New Roman"/>
                <w:lang w:eastAsia="pl-PL"/>
              </w:rPr>
              <w:t>;</w:t>
            </w:r>
          </w:p>
        </w:tc>
      </w:tr>
      <w:tr w:rsidR="005B0B70" w:rsidRPr="005B0B70" w14:paraId="106AACFB" w14:textId="77777777" w:rsidTr="008B1FA0">
        <w:trPr>
          <w:cantSplit/>
        </w:trPr>
        <w:tc>
          <w:tcPr>
            <w:tcW w:w="379" w:type="dxa"/>
          </w:tcPr>
          <w:p w14:paraId="57B0D73D"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363E11A8" w14:textId="19E65E6F" w:rsidR="00877A35" w:rsidRPr="005B0B70" w:rsidRDefault="00877A35" w:rsidP="00877A35">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Systemy ładowania baterii trakcyjnej</w:t>
            </w:r>
          </w:p>
        </w:tc>
        <w:tc>
          <w:tcPr>
            <w:tcW w:w="7882" w:type="dxa"/>
          </w:tcPr>
          <w:p w14:paraId="0638335A" w14:textId="079542E0" w:rsidR="00877A35" w:rsidRPr="005B0B70" w:rsidRDefault="00877A35" w:rsidP="00DA235D">
            <w:pPr>
              <w:numPr>
                <w:ilvl w:val="0"/>
                <w:numId w:val="18"/>
              </w:numPr>
              <w:spacing w:after="0" w:line="240" w:lineRule="auto"/>
              <w:ind w:left="292" w:hanging="292"/>
              <w:jc w:val="both"/>
              <w:rPr>
                <w:rFonts w:ascii="Cambria" w:eastAsia="Times New Roman" w:hAnsi="Cambria" w:cs="Times New Roman"/>
                <w:lang w:eastAsia="pl-PL"/>
              </w:rPr>
            </w:pPr>
            <w:r w:rsidRPr="005B0B70">
              <w:rPr>
                <w:rFonts w:ascii="Cambria" w:eastAsia="Times New Roman" w:hAnsi="Cambria" w:cs="Times New Roman"/>
                <w:szCs w:val="20"/>
                <w:lang w:eastAsia="pl-PL"/>
              </w:rPr>
              <w:t>autobus musi być wyposażony w automatyczny układ blokady uruchomienia autobusu (ruszenia) przy podłączonej ładowarce (</w:t>
            </w:r>
            <w:r w:rsidR="00A44004" w:rsidRPr="005B0B70">
              <w:rPr>
                <w:rFonts w:ascii="Cambria" w:eastAsia="Times New Roman" w:hAnsi="Cambria" w:cs="Times New Roman"/>
                <w:szCs w:val="20"/>
                <w:lang w:eastAsia="pl-PL"/>
              </w:rPr>
              <w:t>nieodłączonej</w:t>
            </w:r>
            <w:r w:rsidRPr="005B0B70">
              <w:rPr>
                <w:rFonts w:ascii="Cambria" w:eastAsia="Times New Roman" w:hAnsi="Cambria" w:cs="Times New Roman"/>
                <w:szCs w:val="20"/>
                <w:lang w:eastAsia="pl-PL"/>
              </w:rPr>
              <w:t xml:space="preserve"> wtyczce ładowarki);</w:t>
            </w:r>
          </w:p>
          <w:p w14:paraId="3516A497" w14:textId="2048044B"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i/>
                <w:lang w:eastAsia="pl-PL"/>
              </w:rPr>
            </w:pPr>
            <w:r w:rsidRPr="005B0B70">
              <w:rPr>
                <w:rFonts w:ascii="Cambria" w:eastAsia="Times New Roman" w:hAnsi="Cambria" w:cs="Times New Roman"/>
                <w:szCs w:val="20"/>
                <w:lang w:eastAsia="pl-PL"/>
              </w:rPr>
              <w:t xml:space="preserve">autobus musi być wyposażony w automatyczny elektryczny/elektroniczny system rozłączania układu ładowania </w:t>
            </w:r>
            <w:r w:rsidRPr="005B0B70">
              <w:rPr>
                <w:rFonts w:ascii="Cambria" w:eastAsia="Times New Roman" w:hAnsi="Cambria" w:cs="Times New Roman"/>
                <w:lang w:eastAsia="pl-PL"/>
              </w:rPr>
              <w:t xml:space="preserve">akumulatorów </w:t>
            </w:r>
            <w:r w:rsidRPr="005B0B70">
              <w:rPr>
                <w:rFonts w:ascii="Cambria" w:eastAsia="Times New Roman" w:hAnsi="Cambria" w:cs="Times New Roman"/>
                <w:szCs w:val="20"/>
                <w:lang w:eastAsia="pl-PL"/>
              </w:rPr>
              <w:t>trakcyjnych po osiągnięciu stanu pełnego naładowania, przy zaniku faz ładowania lub przekroczeniu parametrów ładowania;</w:t>
            </w:r>
            <w:r w:rsidR="00DE3260" w:rsidRPr="005B0B70">
              <w:rPr>
                <w:rFonts w:ascii="Cambria" w:eastAsia="Times New Roman" w:hAnsi="Cambria" w:cs="Times New Roman"/>
                <w:szCs w:val="20"/>
                <w:lang w:eastAsia="pl-PL"/>
              </w:rPr>
              <w:t xml:space="preserve"> </w:t>
            </w:r>
            <w:r w:rsidR="00D90F70" w:rsidRPr="005B0B70">
              <w:rPr>
                <w:rFonts w:ascii="Cambria" w:eastAsia="Times New Roman" w:hAnsi="Cambria" w:cs="Times New Roman"/>
                <w:szCs w:val="20"/>
                <w:lang w:eastAsia="pl-PL"/>
              </w:rPr>
              <w:t xml:space="preserve">(autobus wysyła do stacji ładowania polecenie o zakończeniu procesu ładowania); </w:t>
            </w:r>
          </w:p>
          <w:p w14:paraId="40B504BB" w14:textId="77777777" w:rsidR="00877A35" w:rsidRPr="005B0B70" w:rsidRDefault="00877A35" w:rsidP="00DA235D">
            <w:p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ŁADOWANIE PLUG-IN</w:t>
            </w:r>
          </w:p>
          <w:p w14:paraId="7B834588" w14:textId="23074B74"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gniazdo ładowania plug-in: </w:t>
            </w:r>
            <w:r w:rsidRPr="005B0B70">
              <w:rPr>
                <w:rFonts w:ascii="Cambria" w:eastAsia="Times New Roman" w:hAnsi="Cambria" w:cs="Times New Roman"/>
                <w:i/>
                <w:iCs/>
                <w:lang w:eastAsia="pl-PL"/>
              </w:rPr>
              <w:t>Combo Type 2</w:t>
            </w:r>
            <w:r w:rsidRPr="005B0B70">
              <w:rPr>
                <w:rFonts w:ascii="Cambria" w:eastAsia="Times New Roman" w:hAnsi="Cambria" w:cs="Times New Roman"/>
                <w:lang w:eastAsia="pl-PL"/>
              </w:rPr>
              <w:t xml:space="preserve"> wg IEC 62196-3, usytuowane po prawej stronie autobusu – nadkole przedniej osi i na zwisie tylnym (łącznie dwa gniazda)</w:t>
            </w:r>
            <w:r w:rsidR="00DE3260" w:rsidRPr="005B0B70">
              <w:rPr>
                <w:rFonts w:ascii="Cambria" w:eastAsia="Times New Roman" w:hAnsi="Cambria" w:cs="Times New Roman"/>
                <w:lang w:eastAsia="pl-PL"/>
              </w:rPr>
              <w:t>;</w:t>
            </w:r>
          </w:p>
          <w:p w14:paraId="760F7D2C" w14:textId="669DE07A"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moc ładowania plug-in </w:t>
            </w:r>
            <w:r w:rsidR="006E38B7" w:rsidRPr="005B0B70">
              <w:rPr>
                <w:rFonts w:ascii="Cambria" w:eastAsia="Times New Roman" w:hAnsi="Cambria" w:cs="Times New Roman"/>
                <w:lang w:eastAsia="pl-PL"/>
              </w:rPr>
              <w:t>do</w:t>
            </w:r>
            <w:r w:rsidR="00C66C98" w:rsidRPr="005B0B70">
              <w:rPr>
                <w:rFonts w:ascii="Cambria" w:eastAsia="Times New Roman" w:hAnsi="Cambria" w:cs="Times New Roman"/>
                <w:lang w:eastAsia="pl-PL"/>
              </w:rPr>
              <w:t xml:space="preserve"> </w:t>
            </w:r>
            <w:r w:rsidR="006E38B7" w:rsidRPr="005B0B70">
              <w:rPr>
                <w:rFonts w:ascii="Cambria" w:eastAsia="Times New Roman" w:hAnsi="Cambria" w:cs="Times New Roman"/>
                <w:szCs w:val="20"/>
                <w:lang w:eastAsia="pl-PL"/>
              </w:rPr>
              <w:t>150</w:t>
            </w:r>
            <w:r w:rsidRPr="005B0B70">
              <w:rPr>
                <w:rFonts w:ascii="Cambria" w:eastAsia="Times New Roman" w:hAnsi="Cambria" w:cs="Times New Roman"/>
                <w:szCs w:val="20"/>
                <w:lang w:eastAsia="pl-PL"/>
              </w:rPr>
              <w:t xml:space="preserve"> kW</w:t>
            </w:r>
            <w:r w:rsidR="00DE3260" w:rsidRPr="005B0B70">
              <w:rPr>
                <w:rFonts w:ascii="Cambria" w:eastAsia="Times New Roman" w:hAnsi="Cambria" w:cs="Times New Roman"/>
                <w:szCs w:val="20"/>
                <w:lang w:eastAsia="pl-PL"/>
              </w:rPr>
              <w:t>;</w:t>
            </w:r>
          </w:p>
          <w:p w14:paraId="4B41EA1C" w14:textId="77777777" w:rsidR="00877A35" w:rsidRPr="005B0B70" w:rsidRDefault="00877A35" w:rsidP="00DA235D">
            <w:p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PROTOKÓŁ TRANSMISJI DANYCH</w:t>
            </w:r>
          </w:p>
          <w:p w14:paraId="3ABF0804" w14:textId="4D9472FE"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b/>
                <w:lang w:eastAsia="pl-PL"/>
              </w:rPr>
            </w:pPr>
            <w:r w:rsidRPr="005B0B70">
              <w:rPr>
                <w:rFonts w:ascii="Cambria" w:eastAsia="Times New Roman" w:hAnsi="Cambria" w:cs="Times New Roman"/>
                <w:lang w:eastAsia="pl-PL"/>
              </w:rPr>
              <w:t>protokół transmisji danych ładowania plug-in: komunikacja przewodowa PLC (</w:t>
            </w:r>
            <w:r w:rsidRPr="005B0B70">
              <w:rPr>
                <w:rFonts w:ascii="Cambria" w:eastAsia="Times New Roman" w:hAnsi="Cambria" w:cs="Times New Roman"/>
                <w:i/>
                <w:iCs/>
                <w:lang w:eastAsia="pl-PL"/>
              </w:rPr>
              <w:t>Power Line Communication</w:t>
            </w:r>
            <w:r w:rsidRPr="005B0B70">
              <w:rPr>
                <w:rFonts w:ascii="Cambria" w:eastAsia="Times New Roman" w:hAnsi="Cambria" w:cs="Times New Roman"/>
                <w:lang w:eastAsia="pl-PL"/>
              </w:rPr>
              <w:t>) bazująca na normach: IEC 61851,</w:t>
            </w:r>
            <w:r w:rsidR="009C2A6C" w:rsidRPr="005B0B70">
              <w:rPr>
                <w:rFonts w:ascii="Cambria" w:eastAsia="Times New Roman" w:hAnsi="Cambria" w:cs="Times New Roman"/>
                <w:lang w:eastAsia="pl-PL"/>
              </w:rPr>
              <w:t xml:space="preserve"> </w:t>
            </w:r>
            <w:r w:rsidRPr="005B0B70">
              <w:rPr>
                <w:rFonts w:ascii="Cambria" w:eastAsia="Times New Roman" w:hAnsi="Cambria" w:cs="Times New Roman"/>
                <w:lang w:eastAsia="pl-PL"/>
              </w:rPr>
              <w:t>DIN 70121, ISO/IEC 15118</w:t>
            </w:r>
            <w:r w:rsidR="00DE3260" w:rsidRPr="005B0B70">
              <w:rPr>
                <w:rFonts w:ascii="Cambria" w:eastAsia="Times New Roman" w:hAnsi="Cambria" w:cs="Times New Roman"/>
                <w:lang w:eastAsia="pl-PL"/>
              </w:rPr>
              <w:t>;</w:t>
            </w:r>
          </w:p>
          <w:p w14:paraId="4DA3651B" w14:textId="32B9C90D" w:rsidR="00877A35" w:rsidRPr="005B0B70" w:rsidRDefault="00877A35" w:rsidP="00DA235D">
            <w:pPr>
              <w:numPr>
                <w:ilvl w:val="0"/>
                <w:numId w:val="18"/>
              </w:numPr>
              <w:spacing w:after="0" w:line="240" w:lineRule="auto"/>
              <w:ind w:left="292" w:hanging="292"/>
              <w:contextualSpacing/>
              <w:jc w:val="both"/>
              <w:rPr>
                <w:rFonts w:ascii="Cambria" w:eastAsia="Times New Roman" w:hAnsi="Cambria" w:cs="Times New Roman"/>
                <w:iCs/>
                <w:lang w:eastAsia="pl-PL"/>
              </w:rPr>
            </w:pPr>
            <w:r w:rsidRPr="005B0B70">
              <w:rPr>
                <w:rFonts w:ascii="Cambria" w:eastAsia="Times New Roman" w:hAnsi="Cambria" w:cs="Times New Roman"/>
                <w:iCs/>
                <w:lang w:eastAsia="pl-PL"/>
              </w:rPr>
              <w:t>Zamawiający zastrzega sobie dokonanie zmiany protokołu w przypadku wprowadzenia standaryzacji światowej lub europejskiej lub wprowadzenia w Polsce standaryzacji na podstawie delegacji wynikającej z obowiązującej ustawy o elektromobilności</w:t>
            </w:r>
            <w:r w:rsidR="00DA235D" w:rsidRPr="005B0B70">
              <w:rPr>
                <w:rFonts w:ascii="Cambria" w:eastAsia="Times New Roman" w:hAnsi="Cambria" w:cs="Times New Roman"/>
                <w:iCs/>
                <w:lang w:eastAsia="pl-PL"/>
              </w:rPr>
              <w:t>;</w:t>
            </w:r>
          </w:p>
        </w:tc>
      </w:tr>
      <w:tr w:rsidR="005B0B70" w:rsidRPr="005B0B70" w14:paraId="25BE20CC" w14:textId="77777777" w:rsidTr="008B1FA0">
        <w:tc>
          <w:tcPr>
            <w:tcW w:w="379" w:type="dxa"/>
          </w:tcPr>
          <w:p w14:paraId="677AC96F" w14:textId="77777777" w:rsidR="00473D38" w:rsidRPr="005B0B70" w:rsidRDefault="00473D38" w:rsidP="00473D38">
            <w:pPr>
              <w:numPr>
                <w:ilvl w:val="0"/>
                <w:numId w:val="23"/>
              </w:numPr>
              <w:spacing w:after="0" w:line="240" w:lineRule="auto"/>
              <w:jc w:val="center"/>
              <w:rPr>
                <w:rFonts w:ascii="Cambria" w:eastAsia="Times New Roman" w:hAnsi="Cambria" w:cs="Times New Roman"/>
                <w:lang w:eastAsia="pl-PL"/>
              </w:rPr>
            </w:pPr>
          </w:p>
        </w:tc>
        <w:tc>
          <w:tcPr>
            <w:tcW w:w="1946" w:type="dxa"/>
          </w:tcPr>
          <w:p w14:paraId="6C8EA6A0" w14:textId="77777777" w:rsidR="00473D38" w:rsidRPr="005B0B70" w:rsidRDefault="00473D38" w:rsidP="00473D38">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Informacje o stanie baterii i procesie ładowania</w:t>
            </w:r>
          </w:p>
        </w:tc>
        <w:tc>
          <w:tcPr>
            <w:tcW w:w="7882" w:type="dxa"/>
          </w:tcPr>
          <w:p w14:paraId="54C7271B" w14:textId="77777777" w:rsidR="00473D38" w:rsidRPr="005B0B70" w:rsidRDefault="00473D38" w:rsidP="00473D38">
            <w:pPr>
              <w:spacing w:after="0" w:line="240" w:lineRule="auto"/>
              <w:ind w:left="360" w:hanging="360"/>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TRANSMISJA DANYCH</w:t>
            </w:r>
          </w:p>
          <w:p w14:paraId="77342A6B" w14:textId="3A0399AC"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 xml:space="preserve">dane (sygnały techniczne) przekazywane będą poprzez komputer pokładowy i łącza GSM, zgodnie z zapisem w pkt. 4.1.3.1 załącznika nr </w:t>
            </w:r>
            <w:r w:rsidR="00A424A4" w:rsidRPr="005B0B70">
              <w:rPr>
                <w:rFonts w:asciiTheme="majorHAnsi" w:eastAsia="Times New Roman" w:hAnsiTheme="majorHAnsi" w:cs="Times New Roman"/>
                <w:lang w:eastAsia="pl-PL"/>
              </w:rPr>
              <w:t>1.5.2</w:t>
            </w:r>
            <w:r w:rsidRPr="005B0B70">
              <w:rPr>
                <w:rFonts w:asciiTheme="majorHAnsi" w:eastAsia="Times New Roman" w:hAnsiTheme="majorHAnsi" w:cs="Times New Roman"/>
                <w:lang w:eastAsia="pl-PL"/>
              </w:rPr>
              <w:t xml:space="preserve"> do SWZ. Dane muszą być zgodne ze standardem przyjętym przez Zamawiającego (funkcjonującym od 2010 roku). Dane będą wykorzy</w:t>
            </w:r>
            <w:r w:rsidRPr="005B0B70">
              <w:rPr>
                <w:rFonts w:asciiTheme="majorHAnsi" w:eastAsia="Times New Roman" w:hAnsiTheme="majorHAnsi" w:cs="Times New Roman"/>
                <w:lang w:eastAsia="pl-PL"/>
              </w:rPr>
              <w:softHyphen/>
              <w:t>stane przez systemy informatyczne funkcjonujące u Zamawiającego. Szczegółowy opis standardu zostanie udostępniony wykonawcy po podpisaniu mowy;</w:t>
            </w:r>
          </w:p>
          <w:p w14:paraId="274C557E"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zamawiający określi miejsce dostarczenia i typ danych w bazie systemów monitorowania. Po podpisaniu umowy Zamawiający przekaże adresy IP poszczególnych serwerów, na które mają być przesyłane sygnały techniczne. Kartę SIM dostarcza Zamawiający;</w:t>
            </w:r>
          </w:p>
          <w:p w14:paraId="367877C0"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 xml:space="preserve">szczegółowa lista danych (sygnałów technicznych) z podziałem na przekazywane „on-line” i po zjeździe autobusu do Oddziału, zostanie </w:t>
            </w:r>
            <w:r w:rsidRPr="005B0B70">
              <w:rPr>
                <w:rFonts w:asciiTheme="majorHAnsi" w:eastAsia="Times New Roman" w:hAnsiTheme="majorHAnsi" w:cs="Times New Roman"/>
                <w:lang w:eastAsia="ar-SA"/>
              </w:rPr>
              <w:t>ustalona w trybie roboczym po podpisaniu umowy, na etapie produkcji pierwszej sztuki autobusu;</w:t>
            </w:r>
          </w:p>
          <w:p w14:paraId="4696C456"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ar-SA"/>
              </w:rPr>
              <w:t xml:space="preserve">dane o aktualnym stanie baterii m.in. aktualna rzeczywista pojemność baterii trakcyjnych, liczba zrealizowanych cykli ładowania, SOH – stan żywotności baterii trakcyjnej, zużycie średnie, szacowany zasięg. </w:t>
            </w:r>
            <w:r w:rsidRPr="005B0B70">
              <w:rPr>
                <w:rFonts w:asciiTheme="majorHAnsi" w:eastAsia="Times New Roman" w:hAnsiTheme="majorHAnsi" w:cs="Times New Roman"/>
                <w:lang w:eastAsia="pl-PL"/>
              </w:rPr>
              <w:t xml:space="preserve">Szczegółowa lista danych (sygnałów technicznych) dotycząca baterii trakcyjnych z podziałem na przekazywane „on-line” i po zjeździe autobusu do Oddziału, zostanie </w:t>
            </w:r>
            <w:r w:rsidRPr="005B0B70">
              <w:rPr>
                <w:rFonts w:asciiTheme="majorHAnsi" w:eastAsia="Times New Roman" w:hAnsiTheme="majorHAnsi" w:cs="Times New Roman"/>
                <w:lang w:eastAsia="ar-SA"/>
              </w:rPr>
              <w:t>ustalona w trybie roboczym po podpisaniu umowy, na etapie produkcji pierwszej sztuki autobusu;</w:t>
            </w:r>
          </w:p>
          <w:p w14:paraId="20F6EAF0" w14:textId="77777777" w:rsidR="00473D38" w:rsidRPr="005B0B70" w:rsidRDefault="00473D38" w:rsidP="00473D38">
            <w:p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INFORMACJE NA DESCE ROZDZIELCZEJ KIEROWCY</w:t>
            </w:r>
          </w:p>
          <w:p w14:paraId="3B9FCEE8"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 xml:space="preserve">na desce rozdzielczej podczas jazdy muszą być wyświetlane następujące informacje: poziom całkowicie dostępnej w zakresie od 0 do 100 dla użytkownika energii baterii trakcyjnej wyrażony w [%] ; możliwy zasięg autobusu [km] obliczony na podstawie stanu naładowania baterii i średniego zużycia energii elektrycznej z dnia eksploatacji, przy uwzględnieniu 10% rezerwy (na pierwszym kursie autobus do obliczenia zasięgu może wykorzystać dane o średnim zużyciu energii z dnia poprzedniego); informacja o niezbędnym doładowaniu baterii przed wskazaniem niebezpiecznego poziomu rozładowania (poziom ten zostanie określony w trybie roboczym po </w:t>
            </w:r>
            <w:r w:rsidRPr="005B0B70">
              <w:rPr>
                <w:rFonts w:asciiTheme="majorHAnsi" w:eastAsia="Times New Roman" w:hAnsiTheme="majorHAnsi" w:cs="Times New Roman"/>
                <w:lang w:eastAsia="pl-PL"/>
              </w:rPr>
              <w:lastRenderedPageBreak/>
              <w:t>podpisaniu Umowy) ; średnie zużycie energii elektrycznej [kWh/100km] w dniu eksploatacji; sygnał o włączeniu/wyłączeniu i prawidłowym działaniu urządzeń zainstalowanych pojeździe np. wymiennik ciepła,, itp.; sygnał alarmowy o zagrożeniu pożarowym, w tym baterii trakcyjnej. Lista komunikatów na desce rozdzielczej zostanie ustalona w trybie roboczym po podpisaniu Umowy;</w:t>
            </w:r>
          </w:p>
          <w:p w14:paraId="7CD16C53"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ar-SA"/>
              </w:rPr>
              <w:t>dane o aktualnym stanie baterii m.in. aktualna rzeczywista pojemność baterii trakcyjnych, liczba zrealizowanych cykli ładowania, SOH – stan żywotności baterii, szacowany zasięg, zużycie średnie, zużycie chwilowe, inne dotyczące baterii odnoszące się do możliwości jezdnych pojazdu.</w:t>
            </w:r>
            <w:r w:rsidRPr="005B0B70">
              <w:rPr>
                <w:rFonts w:asciiTheme="majorHAnsi" w:eastAsia="Times New Roman" w:hAnsiTheme="majorHAnsi" w:cs="Times New Roman"/>
                <w:lang w:eastAsia="pl-PL"/>
              </w:rPr>
              <w:t xml:space="preserve"> Szczegółowa lista danych dotycząca baterii trakcyjnych zostanie </w:t>
            </w:r>
            <w:r w:rsidRPr="005B0B70">
              <w:rPr>
                <w:rFonts w:asciiTheme="majorHAnsi" w:eastAsia="Times New Roman" w:hAnsiTheme="majorHAnsi" w:cs="Times New Roman"/>
                <w:lang w:eastAsia="ar-SA"/>
              </w:rPr>
              <w:t>ustalona w trybie roboczym po podpisaniu umowy, na etapie produkcji pierwszej sztuki autobusu</w:t>
            </w:r>
            <w:r w:rsidRPr="005B0B70">
              <w:rPr>
                <w:rFonts w:asciiTheme="majorHAnsi" w:eastAsia="Times New Roman" w:hAnsiTheme="majorHAnsi" w:cs="Times New Roman"/>
                <w:lang w:eastAsia="pl-PL"/>
              </w:rPr>
              <w:t>;</w:t>
            </w:r>
          </w:p>
          <w:p w14:paraId="0935A863" w14:textId="2A69AB55"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 xml:space="preserve">na desce rozdzielczej podczas ładowania muszą być wyświetlane następujące informacje: informacja dla kierowcy o zachodzącym procesie ładowania; stan naładowania baterii w [%]; moc ładowania baterii [kW]; </w:t>
            </w:r>
          </w:p>
          <w:p w14:paraId="6A8997BB" w14:textId="6AAB741B"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Dopuszcza się jako rozwiązanie równoważne, udostępnienie Zamawiającemu panelu dostępnego online (w portalu Wykonawcy przeznaczonym dla Zamawiającego), w którym będą dostępne wymagane powyżej dane;</w:t>
            </w:r>
          </w:p>
          <w:p w14:paraId="3B8EE2DC" w14:textId="77777777" w:rsidR="00473D38" w:rsidRPr="005B0B70" w:rsidRDefault="00473D38" w:rsidP="00473D38">
            <w:p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IDENTYFIKACJA POJAZDU</w:t>
            </w:r>
          </w:p>
          <w:p w14:paraId="73A1EA69" w14:textId="77777777" w:rsidR="00473D38" w:rsidRPr="005B0B70" w:rsidRDefault="00473D38" w:rsidP="00473D38">
            <w:pPr>
              <w:numPr>
                <w:ilvl w:val="0"/>
                <w:numId w:val="38"/>
              </w:numPr>
              <w:spacing w:after="0" w:line="240" w:lineRule="auto"/>
              <w:contextualSpacing/>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podczas ładowania autobus musi przesyłać dane identyfikacyjne do ładowarki – nr taborowy; ładowarka przysyła swój numer identyfikacyjny do autobusu;</w:t>
            </w:r>
          </w:p>
          <w:p w14:paraId="25AAABD7" w14:textId="77777777" w:rsidR="00473D38" w:rsidRPr="005B0B70" w:rsidRDefault="00473D38" w:rsidP="00473D38">
            <w:pPr>
              <w:spacing w:after="0" w:line="240" w:lineRule="auto"/>
              <w:rPr>
                <w:rFonts w:asciiTheme="majorHAnsi" w:eastAsia="Times New Roman" w:hAnsiTheme="majorHAnsi" w:cs="Times New Roman"/>
                <w:lang w:eastAsia="pl-PL"/>
              </w:rPr>
            </w:pPr>
            <w:bookmarkStart w:id="0" w:name="_Hlk175731447"/>
            <w:r w:rsidRPr="005B0B70">
              <w:rPr>
                <w:rFonts w:asciiTheme="majorHAnsi" w:eastAsia="Times New Roman" w:hAnsiTheme="majorHAnsi" w:cs="Times New Roman"/>
                <w:lang w:eastAsia="pl-PL"/>
              </w:rPr>
              <w:t>DANE PRZEKAZYWANE ON-LINE</w:t>
            </w:r>
          </w:p>
          <w:p w14:paraId="1F8F2DF3" w14:textId="77777777" w:rsidR="00473D38" w:rsidRPr="005B0B70" w:rsidRDefault="00473D38" w:rsidP="00473D38">
            <w:pPr>
              <w:numPr>
                <w:ilvl w:val="0"/>
                <w:numId w:val="38"/>
              </w:numPr>
              <w:spacing w:after="0" w:line="240" w:lineRule="auto"/>
              <w:contextualSpacing/>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na serwer Zamawiającego muszą być on-line przesyłane następujące informacje: SOC - stan naładowania baterii w [%]; możliwy zasięg autobusu [km] obliczony na podstawie stanu naładowania baterii i średniego zużycia energii elektrycznej z dnia eksploatacji; przewidywany wymagany czas ładowania autobusu do poziomu 85-90% oraz do 100% ; aktualne średnie zużycie energii [kWh/100km]; sygnał alarmowy o spadku pojemności baterii i zasięgu poniżej bezpiecznego progu [50 km]; sygnał alarmowy o awarii autobusu uniemożliwiającej dalszą eksploatację; sygnał alarmowy o wykryciu awarii systemu ładowania plug-in; sygnał alarmowy o wykryciu zagrożenia pożarowego baterii trakcyjnej, zalecana dodatkowa informacja o lokalizacji uszkodzonej baterii w autobusie;</w:t>
            </w:r>
          </w:p>
          <w:p w14:paraId="52E28AC2" w14:textId="77777777" w:rsidR="00473D38" w:rsidRPr="005B0B70" w:rsidRDefault="00473D38" w:rsidP="00473D38">
            <w:p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DANE PRZEKAZYWANE PO ZJEŹDZIE AUTOBUSU DO ODDZIAŁU</w:t>
            </w:r>
          </w:p>
          <w:p w14:paraId="57F21941" w14:textId="77777777" w:rsidR="00473D38" w:rsidRPr="005B0B70" w:rsidRDefault="00473D38" w:rsidP="00473D38">
            <w:pPr>
              <w:numPr>
                <w:ilvl w:val="0"/>
                <w:numId w:val="38"/>
              </w:numPr>
              <w:spacing w:after="0" w:line="240" w:lineRule="auto"/>
              <w:contextualSpacing/>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na serwer Zamawiającego muszą być przesyłane po zjeździe autobusu do Oddziału następujące informacje przypisane do nr taborowego autobusu, z dnia eksploatacji, poprzez Wi-Fi: ilość energii elektrycznej pobranej z poszczególnych ładowarek [kWh]; zużycie energii elektrycznej [kWh] z podziałem na trakcję; klimatyzację i pozostałą; przebieg [km]; średnie zużycie energii od uruchomienia do zjazdu do Oddziału wyrażone w [kWh/100km];</w:t>
            </w:r>
          </w:p>
          <w:p w14:paraId="653B0F12" w14:textId="7DBFB836" w:rsidR="00473D38" w:rsidRPr="005B0B70" w:rsidRDefault="00473D38" w:rsidP="00473D38">
            <w:pPr>
              <w:numPr>
                <w:ilvl w:val="0"/>
                <w:numId w:val="4"/>
              </w:num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z możliwością łatwego wyeksportowania danych telemetrycznych do formatu *.xls, *.xlsx</w:t>
            </w:r>
            <w:bookmarkEnd w:id="0"/>
            <w:r w:rsidRPr="005B0B70">
              <w:rPr>
                <w:rFonts w:asciiTheme="majorHAnsi" w:eastAsia="Times New Roman" w:hAnsiTheme="majorHAnsi" w:cs="Times New Roman"/>
                <w:lang w:eastAsia="pl-PL"/>
              </w:rPr>
              <w:t>;</w:t>
            </w:r>
          </w:p>
        </w:tc>
      </w:tr>
      <w:tr w:rsidR="005B0B70" w:rsidRPr="005B0B70" w14:paraId="226B8D9C" w14:textId="77777777" w:rsidTr="008B1FA0">
        <w:trPr>
          <w:cantSplit/>
        </w:trPr>
        <w:tc>
          <w:tcPr>
            <w:tcW w:w="379" w:type="dxa"/>
          </w:tcPr>
          <w:p w14:paraId="09FD043C"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A982845" w14:textId="409FD1AD"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Oś przednia</w:t>
            </w:r>
          </w:p>
          <w:p w14:paraId="4A4DBAEE" w14:textId="77777777"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kierowana</w:t>
            </w:r>
          </w:p>
        </w:tc>
        <w:tc>
          <w:tcPr>
            <w:tcW w:w="7882" w:type="dxa"/>
          </w:tcPr>
          <w:p w14:paraId="3A47CF31" w14:textId="77777777" w:rsidR="00473D38" w:rsidRPr="005B0B70" w:rsidRDefault="00473D38" w:rsidP="00473D38">
            <w:pPr>
              <w:pStyle w:val="Akapitzlist"/>
              <w:numPr>
                <w:ilvl w:val="0"/>
                <w:numId w:val="39"/>
              </w:numPr>
              <w:rPr>
                <w:rFonts w:asciiTheme="majorHAnsi" w:hAnsiTheme="majorHAnsi"/>
                <w:sz w:val="22"/>
                <w:szCs w:val="22"/>
              </w:rPr>
            </w:pPr>
            <w:r w:rsidRPr="005B0B70">
              <w:rPr>
                <w:rFonts w:asciiTheme="majorHAnsi" w:hAnsiTheme="majorHAnsi"/>
                <w:sz w:val="22"/>
                <w:szCs w:val="22"/>
              </w:rPr>
              <w:t>rozwiązanie konstrukcyjne ze sztywną belką; dopuszcza się zastosowanie zawieszenia niezależnego osi przedniej;</w:t>
            </w:r>
          </w:p>
          <w:p w14:paraId="2CE32E14" w14:textId="6FE46EC1" w:rsidR="00473D38" w:rsidRPr="005B0B70" w:rsidRDefault="00473D38" w:rsidP="00473D38">
            <w:pPr>
              <w:pStyle w:val="Akapitzlist"/>
              <w:numPr>
                <w:ilvl w:val="0"/>
                <w:numId w:val="29"/>
              </w:numPr>
              <w:rPr>
                <w:rFonts w:asciiTheme="majorHAnsi" w:hAnsiTheme="majorHAnsi"/>
                <w:sz w:val="22"/>
                <w:szCs w:val="22"/>
              </w:rPr>
            </w:pPr>
            <w:r w:rsidRPr="005B0B70">
              <w:rPr>
                <w:rFonts w:asciiTheme="majorHAnsi" w:hAnsiTheme="majorHAnsi"/>
                <w:sz w:val="22"/>
                <w:szCs w:val="22"/>
              </w:rPr>
              <w:t>zastosowane osłony ochronne śrub mocujących koła;</w:t>
            </w:r>
          </w:p>
        </w:tc>
      </w:tr>
      <w:tr w:rsidR="005B0B70" w:rsidRPr="005B0B70" w14:paraId="4F7C06EB" w14:textId="77777777" w:rsidTr="008B1FA0">
        <w:trPr>
          <w:cantSplit/>
        </w:trPr>
        <w:tc>
          <w:tcPr>
            <w:tcW w:w="379" w:type="dxa"/>
          </w:tcPr>
          <w:p w14:paraId="13245312"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73939242" w14:textId="64D9280E"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Most napędowy</w:t>
            </w:r>
          </w:p>
          <w:p w14:paraId="75072D5C" w14:textId="4C439BA3" w:rsidR="00473D38" w:rsidRPr="005B0B70" w:rsidRDefault="00473D38" w:rsidP="00473D38">
            <w:pPr>
              <w:tabs>
                <w:tab w:val="right" w:pos="1806"/>
              </w:tabs>
              <w:spacing w:after="0" w:line="240" w:lineRule="auto"/>
              <w:ind w:left="-30" w:firstLine="30"/>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mechaniczny (lub mosty </w:t>
            </w:r>
            <w:r w:rsidR="00A45EB8" w:rsidRPr="005B0B70">
              <w:rPr>
                <w:rFonts w:ascii="Cambria" w:eastAsia="Times New Roman" w:hAnsi="Cambria" w:cs="Times New Roman"/>
                <w:szCs w:val="20"/>
                <w:lang w:eastAsia="pl-PL"/>
              </w:rPr>
              <w:t>napędowe) – jeśli</w:t>
            </w:r>
            <w:r w:rsidRPr="005B0B70">
              <w:rPr>
                <w:rFonts w:ascii="Cambria" w:eastAsia="Times New Roman" w:hAnsi="Cambria" w:cs="Times New Roman"/>
                <w:szCs w:val="20"/>
                <w:lang w:eastAsia="pl-PL"/>
              </w:rPr>
              <w:t xml:space="preserve"> wystąpią</w:t>
            </w:r>
          </w:p>
        </w:tc>
        <w:tc>
          <w:tcPr>
            <w:tcW w:w="7882" w:type="dxa"/>
          </w:tcPr>
          <w:p w14:paraId="3FF27CF4" w14:textId="77777777" w:rsidR="00473D38" w:rsidRPr="005B0B70" w:rsidRDefault="00473D38" w:rsidP="00473D38">
            <w:pPr>
              <w:numPr>
                <w:ilvl w:val="0"/>
                <w:numId w:val="28"/>
              </w:numPr>
              <w:spacing w:after="0" w:line="240" w:lineRule="auto"/>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przełożenie dobrane w sposób minimalizujący zużycie energii elektrycznej w warunkach drogowych aglomeracji Warszawskiej;</w:t>
            </w:r>
          </w:p>
          <w:p w14:paraId="2C04CEBE" w14:textId="54B07E0C" w:rsidR="00473D38" w:rsidRPr="005B0B70" w:rsidRDefault="00473D38" w:rsidP="00473D38">
            <w:pPr>
              <w:numPr>
                <w:ilvl w:val="0"/>
                <w:numId w:val="4"/>
              </w:num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uzębienie przekładni wykonane w sposób minimalizujący emisję hałasu;</w:t>
            </w:r>
          </w:p>
        </w:tc>
      </w:tr>
      <w:tr w:rsidR="005B0B70" w:rsidRPr="005B0B70" w14:paraId="5B3F8FDC" w14:textId="77777777" w:rsidTr="008B1FA0">
        <w:tc>
          <w:tcPr>
            <w:tcW w:w="379" w:type="dxa"/>
          </w:tcPr>
          <w:p w14:paraId="6422528A"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3C56AED" w14:textId="01F157FF"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Układ kierowniczy</w:t>
            </w:r>
          </w:p>
        </w:tc>
        <w:tc>
          <w:tcPr>
            <w:tcW w:w="7882" w:type="dxa"/>
          </w:tcPr>
          <w:p w14:paraId="6A672967" w14:textId="77777777" w:rsidR="00473D38" w:rsidRPr="005B0B70" w:rsidRDefault="00473D38" w:rsidP="00473D38">
            <w:pPr>
              <w:numPr>
                <w:ilvl w:val="0"/>
                <w:numId w:val="28"/>
              </w:numPr>
              <w:spacing w:after="0" w:line="240" w:lineRule="auto"/>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ze wspomaganiem hydraulicznym lub elektrohydraulicznym, końcówki drążków bezobsługowe typu „</w:t>
            </w:r>
            <w:r w:rsidRPr="005B0B70">
              <w:rPr>
                <w:rFonts w:asciiTheme="majorHAnsi" w:eastAsia="Times New Roman" w:hAnsiTheme="majorHAnsi" w:cs="Times New Roman"/>
                <w:i/>
                <w:iCs/>
                <w:lang w:eastAsia="pl-PL"/>
              </w:rPr>
              <w:t>for life</w:t>
            </w:r>
            <w:r w:rsidRPr="005B0B70">
              <w:rPr>
                <w:rFonts w:asciiTheme="majorHAnsi" w:eastAsia="Times New Roman" w:hAnsiTheme="majorHAnsi" w:cs="Times New Roman"/>
                <w:lang w:eastAsia="pl-PL"/>
              </w:rPr>
              <w:t>”;</w:t>
            </w:r>
          </w:p>
          <w:p w14:paraId="12AC487C" w14:textId="77777777" w:rsidR="00473D38" w:rsidRPr="005B0B70" w:rsidRDefault="00473D38" w:rsidP="00473D38">
            <w:pPr>
              <w:numPr>
                <w:ilvl w:val="0"/>
                <w:numId w:val="28"/>
              </w:numPr>
              <w:spacing w:after="0" w:line="240" w:lineRule="auto"/>
              <w:jc w:val="both"/>
              <w:rPr>
                <w:rFonts w:asciiTheme="majorHAnsi" w:eastAsia="Times New Roman" w:hAnsiTheme="majorHAnsi" w:cs="Times New Roman"/>
                <w:lang w:eastAsia="pl-PL"/>
              </w:rPr>
            </w:pPr>
            <w:r w:rsidRPr="005B0B70">
              <w:rPr>
                <w:rFonts w:asciiTheme="majorHAnsi" w:eastAsia="Times New Roman" w:hAnsiTheme="majorHAnsi" w:cs="Times New Roman"/>
                <w:lang w:eastAsia="pl-PL"/>
              </w:rPr>
              <w:lastRenderedPageBreak/>
              <w:t>diagnoza układu kierowniczego realizowana przez złącze diagnostyczne dedykowane lub przez złącze OBD, dopuszcza się diagnostykę układu kierowniczego bezpośrednio z poziomu pulpitu kierowcy, z zastrzeżeniem, że zapewni ona jednoznaczną identyfikację błędów dla serwisu Zamawiającego;</w:t>
            </w:r>
          </w:p>
          <w:p w14:paraId="6791B0FC" w14:textId="76657E62" w:rsidR="00473D38" w:rsidRPr="005B0B70" w:rsidRDefault="00473D38" w:rsidP="00473D38">
            <w:pPr>
              <w:numPr>
                <w:ilvl w:val="0"/>
                <w:numId w:val="4"/>
              </w:numPr>
              <w:spacing w:after="0" w:line="240" w:lineRule="auto"/>
              <w:rPr>
                <w:rFonts w:asciiTheme="majorHAnsi" w:eastAsia="Times New Roman" w:hAnsiTheme="majorHAnsi" w:cs="Times New Roman"/>
                <w:lang w:eastAsia="pl-PL"/>
              </w:rPr>
            </w:pPr>
            <w:r w:rsidRPr="005B0B70">
              <w:rPr>
                <w:rFonts w:asciiTheme="majorHAnsi" w:eastAsia="Times New Roman" w:hAnsiTheme="majorHAnsi" w:cs="Times New Roman"/>
                <w:lang w:eastAsia="pl-PL"/>
              </w:rPr>
              <w:t>z pełną regulacją położenia koła kierownicy, z pneumatyczną lub mechaniczną blokadą w wybranym położeniu; zalecana regulacja wysokości i pochylenia koła kierownicy łącznie z deską rozdzielczą;</w:t>
            </w:r>
          </w:p>
        </w:tc>
      </w:tr>
      <w:tr w:rsidR="005B0B70" w:rsidRPr="005B0B70" w14:paraId="50ACEF62" w14:textId="77777777" w:rsidTr="008B1FA0">
        <w:trPr>
          <w:trHeight w:val="248"/>
        </w:trPr>
        <w:tc>
          <w:tcPr>
            <w:tcW w:w="379" w:type="dxa"/>
          </w:tcPr>
          <w:p w14:paraId="307EC7D6"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0AC51937" w14:textId="275802F9" w:rsidR="00473D38"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Układ pneumatyczny</w:t>
            </w:r>
          </w:p>
        </w:tc>
        <w:tc>
          <w:tcPr>
            <w:tcW w:w="7882" w:type="dxa"/>
          </w:tcPr>
          <w:p w14:paraId="09E7E361"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obwód przygotowania powietrza wyposażony m. in. w:</w:t>
            </w:r>
          </w:p>
          <w:p w14:paraId="200AAEC5" w14:textId="77777777" w:rsidR="00473D38" w:rsidRPr="005B0B70" w:rsidRDefault="00473D38" w:rsidP="00473D38">
            <w:pPr>
              <w:numPr>
                <w:ilvl w:val="0"/>
                <w:numId w:val="7"/>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sprężarkę dwucylindrową o wydatku dostosowanym do eksploatacji w ruchu miejskim; dopuszcza się zastosowanie sprężarki trzycylindrowej lub sprężarki łopatkowej</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lang w:eastAsia="pl-PL"/>
              </w:rPr>
              <w:t>lub sprężarki śrubowej napędzanych przez silnik elektryczny;</w:t>
            </w:r>
          </w:p>
          <w:p w14:paraId="54DF8DB0" w14:textId="77777777" w:rsidR="00473D38" w:rsidRPr="005B0B70" w:rsidRDefault="00473D38" w:rsidP="00473D38">
            <w:pPr>
              <w:numPr>
                <w:ilvl w:val="0"/>
                <w:numId w:val="7"/>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podgrzewany, sterowany automatycznie odolejacz;</w:t>
            </w:r>
          </w:p>
          <w:p w14:paraId="1F4B75C7" w14:textId="77777777" w:rsidR="00473D38" w:rsidRPr="005B0B70" w:rsidRDefault="00473D38" w:rsidP="00473D38">
            <w:pPr>
              <w:numPr>
                <w:ilvl w:val="0"/>
                <w:numId w:val="7"/>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podgrzewany, dwukomorowy osuszacz powietrza (dopuszcza się osuszacz jednokomorowy o wydatku powietrza osuszanego nie mniejszym niż 650 dm</w:t>
            </w:r>
            <w:r w:rsidRPr="005B0B70">
              <w:rPr>
                <w:rFonts w:ascii="Cambria" w:eastAsia="Times New Roman" w:hAnsi="Cambria" w:cs="Times New Roman"/>
                <w:szCs w:val="20"/>
                <w:vertAlign w:val="superscript"/>
                <w:lang w:eastAsia="pl-PL"/>
              </w:rPr>
              <w:t>3</w:t>
            </w:r>
            <w:r w:rsidRPr="005B0B70">
              <w:rPr>
                <w:rFonts w:ascii="Cambria" w:eastAsia="Times New Roman" w:hAnsi="Cambria" w:cs="Times New Roman"/>
                <w:szCs w:val="20"/>
                <w:lang w:eastAsia="pl-PL"/>
              </w:rPr>
              <w:t>/min przy ciśnieniu wyłączania regulatora ciśnienia właściwym dla danego autobusu), z wkładem posiadającym separator cząstek olejowych (filtr koalescencyjny);</w:t>
            </w:r>
          </w:p>
          <w:p w14:paraId="2CF208CB" w14:textId="77777777" w:rsidR="00473D38" w:rsidRPr="005B0B70" w:rsidRDefault="00473D38" w:rsidP="00473D38">
            <w:pPr>
              <w:pStyle w:val="Akapitzlist"/>
              <w:numPr>
                <w:ilvl w:val="0"/>
                <w:numId w:val="40"/>
              </w:numPr>
              <w:jc w:val="both"/>
              <w:rPr>
                <w:rFonts w:ascii="Cambria" w:hAnsi="Cambria"/>
                <w:sz w:val="22"/>
                <w:szCs w:val="22"/>
              </w:rPr>
            </w:pPr>
            <w:r w:rsidRPr="005B0B70">
              <w:rPr>
                <w:rFonts w:ascii="Cambria" w:hAnsi="Cambria"/>
                <w:sz w:val="22"/>
                <w:szCs w:val="22"/>
              </w:rPr>
              <w:t>elementy układu pneumatycznego (min. osuszacz, odolejacz) zabezpieczone przed nadmiernym zabrudzeniem z ruchu ulicznego, i innymi zabrudzeniami pojawiającymi się w trakcie eksploatacji;</w:t>
            </w:r>
          </w:p>
          <w:p w14:paraId="5C4821BF" w14:textId="77777777" w:rsidR="00473D38" w:rsidRPr="005B0B70" w:rsidRDefault="00473D38" w:rsidP="00473D38">
            <w:pPr>
              <w:numPr>
                <w:ilvl w:val="0"/>
                <w:numId w:val="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zestaw złączy diagnostycznych umożliwiający pełną ocenę stanu technicznego zgrupowany pod klapami montażowymi z tabliczką z opisem funkcyjnym złącz;</w:t>
            </w:r>
          </w:p>
          <w:p w14:paraId="56437999" w14:textId="77777777" w:rsidR="00473D38" w:rsidRPr="005B0B70" w:rsidRDefault="00473D38" w:rsidP="00473D38">
            <w:pPr>
              <w:numPr>
                <w:ilvl w:val="0"/>
                <w:numId w:val="9"/>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zbiorniki powietrza – odporne na korozję: stopy aluminium, stal nierdzewna, stal zabezpieczona w procesie elektroforezy i pokrywana farbami antykorozyjnymi;</w:t>
            </w:r>
          </w:p>
          <w:p w14:paraId="4F74D8C5" w14:textId="759CBAEB" w:rsidR="00473D38" w:rsidRPr="005B0B70" w:rsidRDefault="00473D38" w:rsidP="00473D38">
            <w:pPr>
              <w:numPr>
                <w:ilvl w:val="0"/>
                <w:numId w:val="9"/>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przewody pneumatyczne sztywne – wykonane z materiałów nierdzewnych;</w:t>
            </w:r>
          </w:p>
        </w:tc>
      </w:tr>
      <w:tr w:rsidR="005B0B70" w:rsidRPr="005B0B70" w14:paraId="0341B1F6" w14:textId="77777777" w:rsidTr="008B1FA0">
        <w:trPr>
          <w:cantSplit/>
        </w:trPr>
        <w:tc>
          <w:tcPr>
            <w:tcW w:w="379" w:type="dxa"/>
          </w:tcPr>
          <w:p w14:paraId="15685912"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5F2DD28A" w14:textId="254A35CD" w:rsidR="00473D38" w:rsidRPr="005B0B70" w:rsidRDefault="00473D38" w:rsidP="00473D38">
            <w:pPr>
              <w:spacing w:after="0" w:line="240" w:lineRule="auto"/>
              <w:ind w:left="-30" w:firstLine="30"/>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Układ hamulcowy i układ inteligentnego wspomagania </w:t>
            </w:r>
            <w:r w:rsidR="00A45EB8" w:rsidRPr="005B0B70">
              <w:rPr>
                <w:rFonts w:ascii="Cambria" w:eastAsia="Times New Roman" w:hAnsi="Cambria" w:cs="Times New Roman"/>
                <w:szCs w:val="20"/>
                <w:lang w:eastAsia="pl-PL"/>
              </w:rPr>
              <w:t>hamowania,</w:t>
            </w:r>
            <w:r w:rsidRPr="005B0B70">
              <w:rPr>
                <w:rFonts w:ascii="Cambria" w:eastAsia="Times New Roman" w:hAnsi="Cambria" w:cs="Times New Roman"/>
                <w:szCs w:val="20"/>
                <w:lang w:eastAsia="pl-PL"/>
              </w:rPr>
              <w:t xml:space="preserve"> jeśli wystąpi </w:t>
            </w:r>
            <w:r w:rsidRPr="005B0B70">
              <w:rPr>
                <w:rStyle w:val="Odwoanieprzypisudolnego"/>
                <w:rFonts w:ascii="Cambria" w:eastAsia="Times New Roman" w:hAnsi="Cambria" w:cs="Times New Roman"/>
                <w:szCs w:val="20"/>
                <w:lang w:eastAsia="pl-PL"/>
              </w:rPr>
              <w:footnoteReference w:id="8"/>
            </w:r>
          </w:p>
        </w:tc>
        <w:tc>
          <w:tcPr>
            <w:tcW w:w="7882" w:type="dxa"/>
          </w:tcPr>
          <w:p w14:paraId="7813F401" w14:textId="77777777" w:rsidR="00473D38" w:rsidRPr="005B0B70" w:rsidRDefault="00473D38" w:rsidP="00473D38">
            <w:p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wyposażony w: </w:t>
            </w:r>
          </w:p>
          <w:p w14:paraId="3084C566"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hamulce tarczowe;</w:t>
            </w:r>
          </w:p>
          <w:p w14:paraId="7095976B"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zaciski hamulcowe z automatyczną regulacją luzu;</w:t>
            </w:r>
          </w:p>
          <w:p w14:paraId="35DEDB02"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system EBS;</w:t>
            </w:r>
          </w:p>
          <w:p w14:paraId="4184AE5F"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t xml:space="preserve">funkcję informowania kierowcy o bieżącym zużyciu okładzin klocków hamulcowych; dopuszcza się informowanie kierowcy o osiągnięciu zużycia min 80% pod warunkiem, że informacja o bieżącym zużyciu będzie dostępna jako czynność serwisowa, poprzez urządzenie diagnostyczne, możliwość zmiany w trybie serwisowym ustawienia poziomu zużycia i informowania kierowcy; </w:t>
            </w:r>
          </w:p>
          <w:p w14:paraId="1A2259C4" w14:textId="22928F81" w:rsidR="00473D38" w:rsidRPr="005B0B70" w:rsidRDefault="00473D38" w:rsidP="00AD6804">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hamulec przystankowy uruchamiany automatycznie, gdy którekolwiek drzwi pasażerskie są otwarte (zgodnie z Regulaminem nr 107 EKG ONZ), z</w:t>
            </w:r>
            <w:r w:rsidR="00AD6804"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 xml:space="preserve">możliwością załączania ręcznego przez kierowcę w sytuacji zatrzymania się spowodowanego warunkami ruchu drogowego, z możliwością awaryjnego odblokowania specjalnym przyciskiem zabezpieczonym przed przypadkowym </w:t>
            </w:r>
            <w:r w:rsidRPr="005B0B70">
              <w:rPr>
                <w:rFonts w:asciiTheme="majorHAnsi" w:eastAsia="Times New Roman" w:hAnsiTheme="majorHAnsi" w:cs="Times New Roman"/>
                <w:szCs w:val="20"/>
                <w:lang w:eastAsia="pl-PL"/>
              </w:rPr>
              <w:t xml:space="preserve">użyciem, którego użycie jest raportowane zgodnie z Załącznikiem nr </w:t>
            </w:r>
            <w:r w:rsidR="00A424A4" w:rsidRPr="005B0B70">
              <w:rPr>
                <w:rFonts w:asciiTheme="majorHAnsi" w:eastAsia="Times New Roman" w:hAnsiTheme="majorHAnsi" w:cs="Times New Roman"/>
                <w:szCs w:val="20"/>
                <w:lang w:eastAsia="pl-PL"/>
              </w:rPr>
              <w:t>1.5.2</w:t>
            </w:r>
            <w:r w:rsidRPr="005B0B70">
              <w:rPr>
                <w:rFonts w:asciiTheme="majorHAnsi" w:eastAsia="Times New Roman" w:hAnsiTheme="majorHAnsi" w:cs="Times New Roman"/>
                <w:szCs w:val="20"/>
                <w:lang w:eastAsia="pl-PL"/>
              </w:rPr>
              <w:t xml:space="preserve"> do SWZ;</w:t>
            </w:r>
          </w:p>
          <w:p w14:paraId="73118C56" w14:textId="4111B24F" w:rsidR="00473D38" w:rsidRPr="005B0B70" w:rsidRDefault="00473D38"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Theme="majorHAnsi" w:hAnsiTheme="majorHAnsi"/>
              </w:rPr>
              <w:t>w przypadku zastosowania w pojeździe systemu inteligentnego wspomagania hamowania, który wykrywa zagrożenia ewentualnej kolizji na drodze i</w:t>
            </w:r>
            <w:r w:rsidR="00AD6804" w:rsidRPr="005B0B70">
              <w:rPr>
                <w:rFonts w:asciiTheme="majorHAnsi" w:hAnsiTheme="majorHAnsi"/>
              </w:rPr>
              <w:t> </w:t>
            </w:r>
            <w:r w:rsidRPr="005B0B70">
              <w:rPr>
                <w:rFonts w:asciiTheme="majorHAnsi" w:hAnsiTheme="majorHAnsi"/>
              </w:rPr>
              <w:t>w</w:t>
            </w:r>
            <w:r w:rsidR="00AD6804" w:rsidRPr="005B0B70">
              <w:rPr>
                <w:rFonts w:asciiTheme="majorHAnsi" w:hAnsiTheme="majorHAnsi"/>
              </w:rPr>
              <w:t> </w:t>
            </w:r>
            <w:r w:rsidRPr="005B0B70">
              <w:rPr>
                <w:rFonts w:asciiTheme="majorHAnsi" w:hAnsiTheme="majorHAnsi"/>
              </w:rPr>
              <w:t>zależności od potrzeb zmniejsza lub redukuje do zera prędkość pojazdu zmniejszając bądź zapobiegając skutkom ewentualnej kolizji. W celu ochrony stojących pasażerów system skalibrowany tak, aby siła hamowania zapobiegała zbyt gwałtownemu hamowaniu. Zamawiający wymaga umożliwienia ręcznego wyłączenia działania tego systemu. Wyłączenie systemu inteligentnego hamowania musi być rejestrowane i dostępne w trybie serwisowym;</w:t>
            </w:r>
          </w:p>
        </w:tc>
      </w:tr>
      <w:tr w:rsidR="005B0B70" w:rsidRPr="005B0B70" w14:paraId="4C2191C7" w14:textId="77777777" w:rsidTr="008B1FA0">
        <w:tc>
          <w:tcPr>
            <w:tcW w:w="379" w:type="dxa"/>
          </w:tcPr>
          <w:p w14:paraId="0A54E171"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755972EF" w14:textId="7AF0C594" w:rsidR="00473D38" w:rsidRPr="005B0B70" w:rsidRDefault="00473D38" w:rsidP="00473D38">
            <w:pPr>
              <w:spacing w:after="0" w:line="240" w:lineRule="auto"/>
              <w:ind w:left="-30"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Za zawieszenie i aktywne </w:t>
            </w:r>
            <w:r w:rsidR="00A45EB8" w:rsidRPr="005B0B70">
              <w:rPr>
                <w:rFonts w:ascii="Cambria" w:eastAsia="Times New Roman" w:hAnsi="Cambria" w:cs="Times New Roman"/>
                <w:szCs w:val="20"/>
                <w:lang w:eastAsia="pl-PL"/>
              </w:rPr>
              <w:t>zawieszenie,</w:t>
            </w:r>
            <w:r w:rsidRPr="005B0B70">
              <w:rPr>
                <w:rFonts w:ascii="Cambria" w:eastAsia="Times New Roman" w:hAnsi="Cambria" w:cs="Times New Roman"/>
                <w:szCs w:val="20"/>
                <w:lang w:eastAsia="pl-PL"/>
              </w:rPr>
              <w:t xml:space="preserve"> jeśli wystąpi </w:t>
            </w:r>
            <w:r w:rsidRPr="005B0B70">
              <w:rPr>
                <w:rStyle w:val="Odwoanieprzypisudolnego"/>
                <w:rFonts w:ascii="Cambria" w:eastAsia="Times New Roman" w:hAnsi="Cambria" w:cs="Times New Roman"/>
                <w:szCs w:val="20"/>
                <w:lang w:eastAsia="pl-PL"/>
              </w:rPr>
              <w:footnoteReference w:id="9"/>
            </w:r>
          </w:p>
          <w:p w14:paraId="039B2538" w14:textId="77777777" w:rsidR="00473D38" w:rsidRPr="005B0B70" w:rsidRDefault="00473D38" w:rsidP="00473D38">
            <w:pPr>
              <w:spacing w:after="0" w:line="240" w:lineRule="auto"/>
              <w:ind w:left="283" w:hanging="283"/>
              <w:rPr>
                <w:rFonts w:ascii="Cambria" w:eastAsia="Times New Roman" w:hAnsi="Cambria" w:cs="Times New Roman"/>
                <w:szCs w:val="20"/>
                <w:lang w:eastAsia="pl-PL"/>
              </w:rPr>
            </w:pPr>
          </w:p>
        </w:tc>
        <w:tc>
          <w:tcPr>
            <w:tcW w:w="7882" w:type="dxa"/>
          </w:tcPr>
          <w:p w14:paraId="19091DA8"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pneumatyczne, z możliwością realizacji funkcji unoszenia nadwozia oraz tzw. przyklęku (obniżenia prawej strony nadwozia do wysokości stopnia maks. 270 mm);</w:t>
            </w:r>
          </w:p>
          <w:p w14:paraId="0DC3713B" w14:textId="77777777" w:rsidR="00473D38" w:rsidRPr="005B0B70" w:rsidRDefault="00473D38" w:rsidP="00AD6804">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możliwość uruchomienia funkcji przyklęku zarówno przy otwartych jak i przy zamkniętych drzwiach pojazdu oraz możliwość utrzymania autobusu w stanie przyklęku także po wyłączeniu silnika;</w:t>
            </w:r>
          </w:p>
          <w:p w14:paraId="0AB490BE" w14:textId="1DDB9015" w:rsidR="00473D38" w:rsidRPr="005B0B70" w:rsidRDefault="00473D38"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Theme="majorHAnsi" w:hAnsiTheme="majorHAnsi"/>
              </w:rPr>
              <w:t>zalecane zastosowanie aktywnego zawieszenia na każdą oś (dla każdego koła) kompensującego pracę nadwozia podczas jazdy, niwelującego przechyły boczne i wzdłużne pojazdu poprzez zastosowanie amortyzatorów z elektrozaworami lub elektromagnetycznymi zaworami sterowanymi elektronicznie regulującymi w sposób automatyczny siłę tłumienia w zależności od przechyłu autobusu</w:t>
            </w:r>
            <w:r w:rsidRPr="005B0B70">
              <w:rPr>
                <w:b/>
                <w:bCs/>
                <w:sz w:val="20"/>
              </w:rPr>
              <w:t>;</w:t>
            </w:r>
          </w:p>
        </w:tc>
      </w:tr>
      <w:tr w:rsidR="005B0B70" w:rsidRPr="005B0B70" w14:paraId="09C55CC4" w14:textId="77777777" w:rsidTr="008B1FA0">
        <w:trPr>
          <w:trHeight w:val="350"/>
        </w:trPr>
        <w:tc>
          <w:tcPr>
            <w:tcW w:w="379" w:type="dxa"/>
          </w:tcPr>
          <w:p w14:paraId="3EE26772"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0EA74653" w14:textId="564E10E1"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Ogumienie</w:t>
            </w:r>
          </w:p>
        </w:tc>
        <w:tc>
          <w:tcPr>
            <w:tcW w:w="7882" w:type="dxa"/>
          </w:tcPr>
          <w:p w14:paraId="467E9E3E" w14:textId="77777777" w:rsidR="00473D38" w:rsidRPr="005B0B70" w:rsidRDefault="00473D38" w:rsidP="00473D38">
            <w:pPr>
              <w:numPr>
                <w:ilvl w:val="0"/>
                <w:numId w:val="28"/>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bezdętkowe, typu miejskiego;</w:t>
            </w:r>
          </w:p>
          <w:p w14:paraId="02897DF7" w14:textId="77777777" w:rsidR="00473D38" w:rsidRPr="005B0B70" w:rsidRDefault="00473D38" w:rsidP="00473D38">
            <w:pPr>
              <w:numPr>
                <w:ilvl w:val="0"/>
                <w:numId w:val="28"/>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gwarantowany poziom emitowanego hałasu nie większy niż 71 dB (A);</w:t>
            </w:r>
          </w:p>
          <w:p w14:paraId="6FB228D2" w14:textId="77777777" w:rsidR="00473D38" w:rsidRPr="005B0B70" w:rsidRDefault="00473D38" w:rsidP="00473D38">
            <w:pPr>
              <w:numPr>
                <w:ilvl w:val="0"/>
                <w:numId w:val="28"/>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koła na osi napędowej wyposażone w ogumienie bliźniacze;</w:t>
            </w:r>
          </w:p>
          <w:p w14:paraId="20D4F40F" w14:textId="77777777" w:rsidR="00473D38" w:rsidRPr="005B0B70" w:rsidRDefault="00473D38" w:rsidP="00473D38">
            <w:pPr>
              <w:numPr>
                <w:ilvl w:val="0"/>
                <w:numId w:val="28"/>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na kołach wewnętrznych przedłużane wentyle; </w:t>
            </w:r>
          </w:p>
          <w:p w14:paraId="603C70EF" w14:textId="24A39FEB" w:rsidR="00473D38" w:rsidRPr="005B0B70" w:rsidRDefault="00473D38" w:rsidP="00473D38">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opony nie starsze niż 6 miesięcy od daty dostawy autobusu;</w:t>
            </w:r>
          </w:p>
        </w:tc>
      </w:tr>
      <w:tr w:rsidR="005B0B70" w:rsidRPr="005B0B70" w14:paraId="6223C2F0" w14:textId="77777777" w:rsidTr="008B1FA0">
        <w:trPr>
          <w:trHeight w:val="248"/>
        </w:trPr>
        <w:tc>
          <w:tcPr>
            <w:tcW w:w="379" w:type="dxa"/>
          </w:tcPr>
          <w:p w14:paraId="738479CE" w14:textId="77777777" w:rsidR="00473D38" w:rsidRPr="005B0B70" w:rsidRDefault="00473D38" w:rsidP="00473D38">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C41D34A" w14:textId="25C06C4C" w:rsidR="00473D38"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Układ ogrzewania  </w:t>
            </w:r>
          </w:p>
          <w:p w14:paraId="445396AC" w14:textId="77777777" w:rsidR="00473D38" w:rsidRPr="005B0B70" w:rsidRDefault="00473D38" w:rsidP="00473D38">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(oraz ogrzewania i</w:t>
            </w:r>
          </w:p>
          <w:p w14:paraId="55C827B0" w14:textId="77777777" w:rsidR="00473D38"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chłodzenia baterii) </w:t>
            </w:r>
          </w:p>
          <w:p w14:paraId="3F6640A5" w14:textId="77777777" w:rsidR="00473D38" w:rsidRPr="005B0B70" w:rsidRDefault="00473D38" w:rsidP="00473D38">
            <w:pPr>
              <w:spacing w:after="0" w:line="240" w:lineRule="auto"/>
              <w:ind w:left="283" w:hanging="283"/>
              <w:rPr>
                <w:rFonts w:ascii="Cambria" w:eastAsia="Times New Roman" w:hAnsi="Cambria" w:cs="Times New Roman"/>
                <w:szCs w:val="20"/>
                <w:lang w:eastAsia="pl-PL"/>
              </w:rPr>
            </w:pPr>
          </w:p>
          <w:p w14:paraId="0E6DE560" w14:textId="5A666869" w:rsidR="00473D38" w:rsidRPr="005B0B70" w:rsidRDefault="00473D38" w:rsidP="00473D38">
            <w:pPr>
              <w:rPr>
                <w:rFonts w:ascii="Cambria" w:eastAsia="Times New Roman" w:hAnsi="Cambria" w:cs="Times New Roman"/>
                <w:szCs w:val="20"/>
                <w:lang w:eastAsia="pl-PL"/>
              </w:rPr>
            </w:pPr>
          </w:p>
          <w:p w14:paraId="7AA777A8" w14:textId="77777777" w:rsidR="00473D38" w:rsidRPr="005B0B70" w:rsidRDefault="00473D38" w:rsidP="00473D38">
            <w:pPr>
              <w:rPr>
                <w:rFonts w:ascii="Cambria" w:eastAsia="Times New Roman" w:hAnsi="Cambria" w:cs="Times New Roman"/>
                <w:szCs w:val="20"/>
                <w:lang w:eastAsia="pl-PL"/>
              </w:rPr>
            </w:pPr>
          </w:p>
        </w:tc>
        <w:tc>
          <w:tcPr>
            <w:tcW w:w="7882" w:type="dxa"/>
          </w:tcPr>
          <w:p w14:paraId="4D87A8D6"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działający automatycznie, w oparciu o dane rejestrowane przez czujniki temperatury wewnątrz i na zewnątrz autobusu, we współpracy z układem klimatyzacji z pompą ciepła autobusu, [opcjonalnie] dodatkowym systemem przygotowania komfortu termicznego zdalnie sterowanym z wykorzystaniem energii elektrycznej uzyskiwanej podczas ładowania oraz z układem ogrzewania i chłodzenia baterii;</w:t>
            </w:r>
          </w:p>
          <w:p w14:paraId="6864EE8F"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urządzenia grzewcze działające w automatyce, w funkcji temperatury czynnika grzewczego;</w:t>
            </w:r>
          </w:p>
          <w:p w14:paraId="0320D578" w14:textId="77777777" w:rsidR="00473D38" w:rsidRPr="005B0B70" w:rsidRDefault="00473D38" w:rsidP="00473D38">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agregat grzewczy działający w automatyce, wspólnie z pompą ciepła klimatyzatora i [opcjonalnie] ogrzewaniem elektrycznym: z możliwością serwisowego określenia temperatury zewnętrznej od której będzie włączany do układu;</w:t>
            </w:r>
          </w:p>
          <w:p w14:paraId="1DAA1731"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z możliwością stopniowej regulacji temperatury w przestrzeni pasażerskiej (w trybie serwisowym), z funkcją niezależnego sterowania pracą i regulacji temperatury do temperatury oczekiwanej w kabinie kierowcy; </w:t>
            </w:r>
          </w:p>
          <w:p w14:paraId="214867EE"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ze zbiornikiem akumulacyjnym, pompą obiegową i sygnalizacją poziomu płynu</w:t>
            </w:r>
          </w:p>
          <w:p w14:paraId="71C7D79F" w14:textId="77777777" w:rsidR="00473D38" w:rsidRPr="005B0B70" w:rsidRDefault="00473D38" w:rsidP="00473D38">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sterowanie pracą układu ogrzewania powinno zapewnić możliwość uzyskania temperatur w przestrzeni pasażerskiej określonych w tabeli w pkt. 17, w zależności od temperatury zewnętrznej;</w:t>
            </w:r>
          </w:p>
          <w:p w14:paraId="487F992A" w14:textId="1AA7D784" w:rsidR="00473D38" w:rsidRPr="005B0B70" w:rsidRDefault="00473D38" w:rsidP="00473D38">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chłodnica (zespół chłodnic) – *jeśli zastosowano; usytuowanie i konstrukcja zabezpieczające przed zabrudzeniem, w szczególności pyłkami topoli, np. zastosowany dodatkowy filtr siatkowy; wymagane rozwiązanie o dużej podatności obsługowej, to jest o małej częstotliwości oraz zminimalizowanym zakresie i pracochłonności obsług, możliwość łatwego czyszczenia chłodnic – po odchyleniu klap, bez demontażu chłodnic; </w:t>
            </w:r>
          </w:p>
        </w:tc>
      </w:tr>
      <w:tr w:rsidR="005B0B70" w:rsidRPr="005B0B70" w14:paraId="4D4C8107" w14:textId="77777777" w:rsidTr="008B1FA0">
        <w:trPr>
          <w:trHeight w:val="243"/>
        </w:trPr>
        <w:tc>
          <w:tcPr>
            <w:tcW w:w="379" w:type="dxa"/>
          </w:tcPr>
          <w:p w14:paraId="10FA537F"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6E61EE99" w14:textId="220E52D8"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N</w:t>
            </w:r>
            <w:r w:rsidR="00877A35" w:rsidRPr="005B0B70">
              <w:rPr>
                <w:rFonts w:ascii="Cambria" w:eastAsia="Times New Roman" w:hAnsi="Cambria" w:cs="Times New Roman"/>
                <w:szCs w:val="20"/>
                <w:lang w:eastAsia="pl-PL"/>
              </w:rPr>
              <w:t xml:space="preserve">agrzewnice </w:t>
            </w:r>
          </w:p>
          <w:p w14:paraId="3E0B5E04"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przestrzeni pasażerskiej</w:t>
            </w:r>
          </w:p>
        </w:tc>
        <w:tc>
          <w:tcPr>
            <w:tcW w:w="7882" w:type="dxa"/>
          </w:tcPr>
          <w:p w14:paraId="088771E1" w14:textId="212D74E4"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konstrukcja nagrzewnic – nagrzewnice (konwektorowe, dmuchawy) w wykonaniu umożliwiającym łatwe czyszczenie wymienników ciepła, silniki elektryczne dmuchaw zabezpieczone przed kurzem i wilgocią nanoszonymi przez przepływające powietrze; konstrukcja nagrzewnic w przestrzeni pasażerskiej bezpieczna dla pasażerów, zapewniająca odporność na uszkodzenia mechaniczne;</w:t>
            </w:r>
          </w:p>
          <w:p w14:paraId="4F288840"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zamontowanie nagrzewnic w przestrzeni pasażerskiej w sposób chroniący pasażerów przed przypadkowym zranieniem lub kontuzją;</w:t>
            </w:r>
          </w:p>
          <w:p w14:paraId="60FFCBFA"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nagrzewnice zamontowane w taki sposób, aby wylot ciepłego powietrza był skierowany w przestrzeń przy każdych drzwiach (dotyczy nagrzewnic-dmuchaw dolnych);</w:t>
            </w:r>
          </w:p>
          <w:p w14:paraId="1A9E7DCA" w14:textId="50410FA9" w:rsidR="00877A35" w:rsidRPr="005B0B70" w:rsidRDefault="00473D38" w:rsidP="00473D38">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praca nagrzewnic nie może powodować uciążliwego hałasu, ogrzane powietrze dostarczane do przestrzeni pasażerskiej nie może powodować dyskomfortu w podróżowaniu (odczucia przegrzania) osób siedzących i stojących w każdym obszarze przestrzeni pasażerskiej;</w:t>
            </w:r>
          </w:p>
        </w:tc>
      </w:tr>
      <w:tr w:rsidR="005B0B70" w:rsidRPr="005B0B70" w14:paraId="2C3BDEE4" w14:textId="77777777" w:rsidTr="008B1FA0">
        <w:tc>
          <w:tcPr>
            <w:tcW w:w="379" w:type="dxa"/>
          </w:tcPr>
          <w:p w14:paraId="0AFED0CC"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02942D6C" w14:textId="77777777" w:rsidR="00473D38"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Agregat grzewczy  </w:t>
            </w:r>
          </w:p>
          <w:p w14:paraId="6C9CE11F" w14:textId="099F3040" w:rsidR="00877A35" w:rsidRPr="005B0B70" w:rsidRDefault="00473D38" w:rsidP="00473D38">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*jeśli występuje</w:t>
            </w:r>
          </w:p>
        </w:tc>
        <w:tc>
          <w:tcPr>
            <w:tcW w:w="7882" w:type="dxa"/>
          </w:tcPr>
          <w:p w14:paraId="6862A884" w14:textId="74D50E62" w:rsidR="00750200" w:rsidRPr="005B0B70" w:rsidRDefault="00750200" w:rsidP="00473D38">
            <w:p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Agregat grzewczy spalinowy, zasilany ON, zastosowany jako dodatkowe urządzeni grzewcze (spełniający aktualnie obowiązujące normy jakościowe dla paliw ciekłych) pracujący w układzie hybrydowym wraz </w:t>
            </w:r>
            <w:r w:rsidR="00A45EB8" w:rsidRPr="005B0B70">
              <w:rPr>
                <w:rFonts w:ascii="Cambria" w:eastAsia="Times New Roman" w:hAnsi="Cambria" w:cs="Times New Roman"/>
                <w:lang w:eastAsia="pl-PL"/>
              </w:rPr>
              <w:t>z pompą</w:t>
            </w:r>
            <w:r w:rsidRPr="005B0B70">
              <w:rPr>
                <w:rFonts w:ascii="Cambria" w:eastAsia="Times New Roman" w:hAnsi="Cambria" w:cs="Times New Roman"/>
                <w:lang w:eastAsia="pl-PL"/>
              </w:rPr>
              <w:t xml:space="preserve"> ciepła klimatyzatora:</w:t>
            </w:r>
          </w:p>
          <w:p w14:paraId="2BE7C66B" w14:textId="41F2D5AB" w:rsidR="00750200" w:rsidRPr="005B0B70" w:rsidRDefault="00750200"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agregat grzewczy spalinowy hybrydowy, zasilany ON o mocy grzewczej niemniejszej niż </w:t>
            </w:r>
            <w:r w:rsidR="006D49B9" w:rsidRPr="005B0B70">
              <w:rPr>
                <w:rFonts w:ascii="Cambria" w:eastAsia="Times New Roman" w:hAnsi="Cambria" w:cs="Times New Roman"/>
                <w:szCs w:val="20"/>
                <w:lang w:eastAsia="pl-PL"/>
              </w:rPr>
              <w:t>30</w:t>
            </w:r>
            <w:r w:rsidRPr="005B0B70">
              <w:rPr>
                <w:rFonts w:ascii="Cambria" w:eastAsia="Times New Roman" w:hAnsi="Cambria" w:cs="Times New Roman"/>
                <w:szCs w:val="20"/>
                <w:lang w:eastAsia="pl-PL"/>
              </w:rPr>
              <w:t xml:space="preserve">kW pracujący w układzie hybrydowym z pompą ciepła klimatyzatora (dopuszcza się zastosowanie oddzielnego, dodatkowego podgrzewacza elektrycznego mocy elektrycznej </w:t>
            </w:r>
            <w:r w:rsidR="003B2A0E" w:rsidRPr="005B0B70">
              <w:rPr>
                <w:rFonts w:ascii="Cambria" w:eastAsia="Times New Roman" w:hAnsi="Cambria" w:cs="Times New Roman"/>
                <w:szCs w:val="20"/>
                <w:lang w:eastAsia="pl-PL"/>
              </w:rPr>
              <w:t>nie mniejszej jak</w:t>
            </w:r>
            <w:r w:rsidRPr="005B0B70">
              <w:rPr>
                <w:rFonts w:ascii="Cambria" w:eastAsia="Times New Roman" w:hAnsi="Cambria" w:cs="Times New Roman"/>
                <w:szCs w:val="20"/>
                <w:lang w:eastAsia="pl-PL"/>
              </w:rPr>
              <w:t xml:space="preserve"> 20 kW; </w:t>
            </w:r>
          </w:p>
          <w:p w14:paraId="75B3B103" w14:textId="086A5F43" w:rsidR="00750200" w:rsidRPr="005B0B70" w:rsidRDefault="005C5E2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zbiornik paliwa pozwalający zapewnić komfort termiczny określony w tabeli w pkt. 17 dla dziennego gwarantowanego przebiegu autobusu zakładając ciągłą prace agregatu grzewczego (pojemność zbiornika nie</w:t>
            </w:r>
            <w:r w:rsidR="003B2A0E" w:rsidRPr="005B0B70">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mniejsza niż 50 dm3)</w:t>
            </w:r>
            <w:r w:rsidR="00EE4AFD" w:rsidRPr="005B0B70">
              <w:rPr>
                <w:rFonts w:ascii="Cambria" w:eastAsia="Times New Roman" w:hAnsi="Cambria" w:cs="Times New Roman"/>
                <w:szCs w:val="20"/>
                <w:lang w:eastAsia="pl-PL"/>
              </w:rPr>
              <w:t>;</w:t>
            </w:r>
          </w:p>
          <w:p w14:paraId="5C856DE8"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sterowany automatycznie w zależności od temperatury czynnika grzejnego, wyłączany po osiągnięciu wymaganej temperatury wnętrza;</w:t>
            </w:r>
          </w:p>
          <w:p w14:paraId="05D65133"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podgrzewany filtr paliwa z wkładem papierowym;</w:t>
            </w:r>
          </w:p>
          <w:p w14:paraId="09F5C4EF"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włączony w układ ogrzewania autobusu;</w:t>
            </w:r>
          </w:p>
          <w:p w14:paraId="3490A92A"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agregat ze sterownikiem z zegarem preselekcyjnym;</w:t>
            </w:r>
          </w:p>
          <w:p w14:paraId="2CB68DC5" w14:textId="77777777" w:rsidR="00473D38" w:rsidRPr="005B0B70" w:rsidRDefault="00473D38"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spełniający aktualne wymagania Regulaminu Nr 122 EKG ONZ;</w:t>
            </w:r>
          </w:p>
          <w:p w14:paraId="67A7D24E" w14:textId="72698C6A" w:rsidR="00521DB5" w:rsidRPr="005B0B70" w:rsidRDefault="00473D38" w:rsidP="00473D38">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zalecane zastosowanie filtrów i rozwiązań ograniczających emisję substancji szkodliwych i gazów;</w:t>
            </w:r>
          </w:p>
        </w:tc>
      </w:tr>
      <w:tr w:rsidR="005B0B70" w:rsidRPr="005B0B70" w14:paraId="7207A6BA" w14:textId="77777777" w:rsidTr="008B1FA0">
        <w:tc>
          <w:tcPr>
            <w:tcW w:w="379" w:type="dxa"/>
          </w:tcPr>
          <w:p w14:paraId="0FE2A187"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045B8393" w14:textId="29C1BA5F"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R</w:t>
            </w:r>
            <w:r w:rsidR="00877A35" w:rsidRPr="005B0B70">
              <w:rPr>
                <w:rFonts w:ascii="Cambria" w:eastAsia="Times New Roman" w:hAnsi="Cambria" w:cs="Times New Roman"/>
                <w:szCs w:val="20"/>
                <w:lang w:eastAsia="pl-PL"/>
              </w:rPr>
              <w:t>ury układu ogrzewania                 i chłodzenia</w:t>
            </w:r>
          </w:p>
        </w:tc>
        <w:tc>
          <w:tcPr>
            <w:tcW w:w="7882" w:type="dxa"/>
          </w:tcPr>
          <w:p w14:paraId="29BD59A6" w14:textId="77777777" w:rsidR="00473D38" w:rsidRPr="005B0B70" w:rsidRDefault="00473D38" w:rsidP="00473D38">
            <w:pPr>
              <w:numPr>
                <w:ilvl w:val="0"/>
                <w:numId w:val="4"/>
              </w:numPr>
              <w:spacing w:after="0" w:line="240" w:lineRule="auto"/>
              <w:ind w:left="284" w:hanging="284"/>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odporne na korozję (stal nierdzewna, miedź, mosiądz lub tworzywa sztuczne);</w:t>
            </w:r>
          </w:p>
          <w:p w14:paraId="6024F6DE" w14:textId="77777777" w:rsidR="00473D38" w:rsidRPr="005B0B70" w:rsidRDefault="00473D38" w:rsidP="00473D38">
            <w:pPr>
              <w:numPr>
                <w:ilvl w:val="0"/>
                <w:numId w:val="4"/>
              </w:numPr>
              <w:spacing w:after="0" w:line="240" w:lineRule="auto"/>
              <w:ind w:left="284" w:hanging="284"/>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termoizolowane (zalecana izolacja bez szwu);</w:t>
            </w:r>
          </w:p>
          <w:p w14:paraId="5545CE49" w14:textId="051F7A05" w:rsidR="00877A35" w:rsidRPr="005B0B70" w:rsidRDefault="00473D38" w:rsidP="00473D38">
            <w:pPr>
              <w:numPr>
                <w:ilvl w:val="0"/>
                <w:numId w:val="4"/>
              </w:numPr>
              <w:spacing w:after="0" w:line="240" w:lineRule="auto"/>
              <w:ind w:left="284" w:hanging="284"/>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złączki z materiału na bazie kauczuku etyleno-propyleno-dienowego (EPDM), dopuszcza się kauczuk silikonowy; zaciskane opaskami ślimakowymi lub innymi gwarantującymi szczelność połączenia w całym okresie eksploatacji;</w:t>
            </w:r>
          </w:p>
        </w:tc>
      </w:tr>
      <w:tr w:rsidR="005B0B70" w:rsidRPr="005B0B70" w14:paraId="79512817" w14:textId="77777777" w:rsidTr="008B1FA0">
        <w:tc>
          <w:tcPr>
            <w:tcW w:w="379" w:type="dxa"/>
          </w:tcPr>
          <w:p w14:paraId="2A94101A" w14:textId="77777777" w:rsidR="00877A35" w:rsidRPr="005B0B70" w:rsidRDefault="00877A35" w:rsidP="00C232FB">
            <w:pPr>
              <w:numPr>
                <w:ilvl w:val="0"/>
                <w:numId w:val="23"/>
              </w:numPr>
              <w:spacing w:after="0" w:line="240" w:lineRule="auto"/>
              <w:rPr>
                <w:rFonts w:ascii="Cambria" w:eastAsia="Times New Roman" w:hAnsi="Cambria" w:cs="Times New Roman"/>
                <w:szCs w:val="20"/>
                <w:lang w:eastAsia="pl-PL"/>
              </w:rPr>
            </w:pPr>
          </w:p>
        </w:tc>
        <w:tc>
          <w:tcPr>
            <w:tcW w:w="1946" w:type="dxa"/>
          </w:tcPr>
          <w:p w14:paraId="0D3A89E5" w14:textId="0BC55759"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W</w:t>
            </w:r>
            <w:r w:rsidR="00877A35" w:rsidRPr="005B0B70">
              <w:rPr>
                <w:rFonts w:ascii="Cambria" w:eastAsia="Times New Roman" w:hAnsi="Cambria" w:cs="Times New Roman"/>
                <w:szCs w:val="20"/>
                <w:lang w:eastAsia="pl-PL"/>
              </w:rPr>
              <w:t>entylacja przestrzeni pasażerskiej</w:t>
            </w:r>
          </w:p>
        </w:tc>
        <w:tc>
          <w:tcPr>
            <w:tcW w:w="7882" w:type="dxa"/>
          </w:tcPr>
          <w:p w14:paraId="1B45477A" w14:textId="77777777" w:rsidR="00EE4AFD" w:rsidRPr="005B0B70" w:rsidRDefault="00877A3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naturalna, przez okna boczne otwierane w górnej części, przesuwne, rozmieszczone   równomiernie na całej długości pojazdu;</w:t>
            </w:r>
            <w:r w:rsidR="000342AF" w:rsidRPr="005B0B70">
              <w:rPr>
                <w:rFonts w:ascii="Cambria" w:eastAsia="Times New Roman" w:hAnsi="Cambria" w:cs="Times New Roman"/>
                <w:szCs w:val="20"/>
                <w:lang w:eastAsia="pl-PL"/>
              </w:rPr>
              <w:t xml:space="preserve"> </w:t>
            </w:r>
            <w:r w:rsidR="00466475" w:rsidRPr="005B0B70">
              <w:rPr>
                <w:rFonts w:ascii="Cambria" w:eastAsia="Times New Roman" w:hAnsi="Cambria" w:cs="Times New Roman"/>
                <w:szCs w:val="20"/>
                <w:lang w:eastAsia="pl-PL"/>
              </w:rPr>
              <w:t xml:space="preserve">liczba okien otwieranych o szerokości nie mniejszej niż 800mm nie mniejsza niż 50% wszystkich okien w autobusie, biorąc pod uwagę wszystkie okna w przestrzeni pasażerskiej o wymaganej szerokości łącznie po obydwu stronach autobusu, przy czym po prawej stronie autobusu wymagane co najmniej dwa pełnowymiarowe okna otwierane; wysokość części otwieranej nie mniejsza niż 25% i nie większa niż 70% wysokości okna (wysokość minimalna 215 mm); część przesuwna okna musi być zabezpieczona przed samoczynnym przesuwaniem się jej podczas jazdy, w okolicy drzwi otwieranych na zewnątrz okna umieszczone w sposób zabezpieczający przed ewentualnym narażeniem zdrowia i mienia pasażerów; </w:t>
            </w:r>
          </w:p>
          <w:p w14:paraId="0A125874" w14:textId="62BA2C60" w:rsidR="00466475" w:rsidRPr="005B0B70" w:rsidRDefault="0046647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okno otwierane musi posiadać możliwość trwałego zablokowania go przez kierowcę, w pozycji zamkniętej, przy pracującym urządzeniu klimatyzacyjnym w przestrzeni pasażerskiej, zamkiem typu kwadrat;</w:t>
            </w:r>
          </w:p>
          <w:p w14:paraId="236D7049" w14:textId="77777777" w:rsidR="009749F2" w:rsidRPr="005B0B70" w:rsidRDefault="00877A3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naturalna, przez uchylne wywietrzniki dachowe – opcjonalnie (otwieranie przód-tył niezależne; możliwość wyboru ustawienia otwarcia: przód, przód + tył, tył)</w:t>
            </w:r>
            <w:r w:rsidR="00466475"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liczba wywietrzników nie mniejsza niż 2 sztuki, po jednym w I i II członie,</w:t>
            </w:r>
            <w:r w:rsidR="00047D8A" w:rsidRPr="005B0B70">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umieszczenie</w:t>
            </w:r>
            <w:r w:rsidRPr="005B0B70" w:rsidDel="0017400D">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odpowiednio do usytuowania baterii, przetwornicy napięcia, klimatyzacji, itp. na dachu autobusu; otwieranie i zamykanie sterowane zdalnie z miejsca kierowcy, napęd elektryczny; wymagana funkcja automatycznego zamykania wywietrzników przy pracującym urządzeniu klimatyzacyjnym w przestrzeni pasażerskiej; wymagana funkcja automatycznego zamykania wywietrzników przy załączeniu wycieraczek szyby przedniej w trybie pracy ciągłej, dopuszcza się działanie tej funkcji również przy trybie pracy czasowej;</w:t>
            </w:r>
          </w:p>
          <w:p w14:paraId="29533CD3" w14:textId="0AD01795" w:rsidR="00877A35" w:rsidRPr="005B0B70" w:rsidRDefault="00877A35" w:rsidP="00473D38">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wymuszona o dużej skuteczności, poprzez nawiewy dachowe, uruchamiane niezależnie od urządzenia klimatyzacyjnego; łączny wydatek wymiany powietrza dla całej przestrzeni pasażerskiej – co najmniej 1600 m3/h, zalecany 3000 m3/h lub większy; sterowanie pracą wentylatorów powinno zapewnić możliwość uzyskania temperatur w przestrzeni pasażerskiej określonych w tabeli w pkt. 17, w zależności od temperatury zewnętrznej; działanie urządzeń nie może powodować dyskomfortu w podróżowaniu (odczucia chłodu lub gorąca wynikającego z pracy urządzeń z nadmierną intensywnością) osób siedzących jak i stojących w każdym obszarze przestrzeni pasażerskiej; wyposażony w możliwość wyłączenia w trybie specjalnym</w:t>
            </w:r>
            <w:r w:rsidRPr="005B0B70">
              <w:rPr>
                <w:rFonts w:ascii="Cambria" w:eastAsia="Times New Roman" w:hAnsi="Cambria" w:cs="Times New Roman"/>
                <w:szCs w:val="20"/>
                <w:vertAlign w:val="superscript"/>
                <w:lang w:eastAsia="pl-PL"/>
              </w:rPr>
              <w:footnoteReference w:id="10"/>
            </w:r>
            <w:r w:rsidRPr="005B0B70">
              <w:rPr>
                <w:rFonts w:ascii="Cambria" w:eastAsia="Times New Roman" w:hAnsi="Cambria" w:cs="Times New Roman"/>
                <w:szCs w:val="20"/>
                <w:lang w:eastAsia="pl-PL"/>
              </w:rPr>
              <w:t xml:space="preserve"> pracy wentylacji wymuszonej wyłącznie w przestrzeni pasażerskiej</w:t>
            </w:r>
            <w:r w:rsidR="00EE4AFD" w:rsidRPr="005B0B70">
              <w:rPr>
                <w:rFonts w:ascii="Cambria" w:eastAsia="Times New Roman" w:hAnsi="Cambria" w:cs="Times New Roman"/>
                <w:szCs w:val="20"/>
                <w:lang w:eastAsia="pl-PL"/>
              </w:rPr>
              <w:t>;</w:t>
            </w:r>
          </w:p>
        </w:tc>
      </w:tr>
      <w:tr w:rsidR="005B0B70" w:rsidRPr="005B0B70" w14:paraId="5C3EB18C" w14:textId="77777777" w:rsidTr="008B1FA0">
        <w:tc>
          <w:tcPr>
            <w:tcW w:w="379" w:type="dxa"/>
          </w:tcPr>
          <w:p w14:paraId="397BF876"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63F79551" w14:textId="2B53F1A7" w:rsidR="00877A35" w:rsidRPr="005B0B70" w:rsidRDefault="009E2BA4"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U</w:t>
            </w:r>
            <w:r w:rsidR="00877A35" w:rsidRPr="005B0B70">
              <w:rPr>
                <w:rFonts w:ascii="Cambria" w:eastAsia="Times New Roman" w:hAnsi="Cambria" w:cs="Times New Roman"/>
                <w:szCs w:val="20"/>
                <w:lang w:eastAsia="pl-PL"/>
              </w:rPr>
              <w:t xml:space="preserve">rządzenie </w:t>
            </w:r>
          </w:p>
          <w:p w14:paraId="2C282516"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klimatyzacyjne </w:t>
            </w:r>
          </w:p>
          <w:p w14:paraId="1B237C9C"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 xml:space="preserve">kabiny kierowcy </w:t>
            </w:r>
          </w:p>
          <w:p w14:paraId="3B702851"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i przestrzeni</w:t>
            </w:r>
          </w:p>
          <w:p w14:paraId="58C77561"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pasażerskiej</w:t>
            </w:r>
          </w:p>
        </w:tc>
        <w:tc>
          <w:tcPr>
            <w:tcW w:w="7882" w:type="dxa"/>
          </w:tcPr>
          <w:p w14:paraId="76EEEECA" w14:textId="512F6CF9" w:rsidR="00877A35" w:rsidRPr="005B0B70" w:rsidRDefault="00877A35" w:rsidP="00B24220">
            <w:pPr>
              <w:numPr>
                <w:ilvl w:val="0"/>
                <w:numId w:val="5"/>
              </w:num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urządzenie zamontowane na dachu autobusu, elektryczne</w:t>
            </w:r>
            <w:r w:rsidR="001358D6" w:rsidRPr="005B0B70">
              <w:rPr>
                <w:rFonts w:ascii="Cambria" w:eastAsia="Times New Roman" w:hAnsi="Cambria" w:cs="Times New Roman"/>
                <w:szCs w:val="20"/>
                <w:lang w:eastAsia="pl-PL"/>
              </w:rPr>
              <w:t>;</w:t>
            </w:r>
            <w:r w:rsidRPr="005B0B70">
              <w:rPr>
                <w:rFonts w:ascii="Cambria" w:eastAsia="Times New Roman" w:hAnsi="Cambria" w:cs="Times New Roman"/>
                <w:lang w:eastAsia="pl-PL"/>
              </w:rPr>
              <w:t xml:space="preserve"> </w:t>
            </w:r>
          </w:p>
          <w:p w14:paraId="7FF46CE7" w14:textId="77777777" w:rsidR="00473D38" w:rsidRPr="005B0B70" w:rsidRDefault="00473D38" w:rsidP="00473D38">
            <w:pPr>
              <w:numPr>
                <w:ilvl w:val="0"/>
                <w:numId w:val="5"/>
              </w:numPr>
              <w:spacing w:after="0" w:line="240" w:lineRule="auto"/>
              <w:contextualSpacing/>
              <w:jc w:val="both"/>
              <w:rPr>
                <w:rFonts w:ascii="Cambria" w:eastAsia="Times New Roman" w:hAnsi="Cambria" w:cs="Times New Roman"/>
                <w:lang w:eastAsia="pl-PL"/>
              </w:rPr>
            </w:pPr>
            <w:r w:rsidRPr="005B0B70">
              <w:rPr>
                <w:rFonts w:ascii="Cambria" w:eastAsia="Times New Roman" w:hAnsi="Cambria" w:cs="Times New Roman"/>
                <w:lang w:eastAsia="pl-PL"/>
              </w:rPr>
              <w:lastRenderedPageBreak/>
              <w:t xml:space="preserve">klimatyzator z pompą ciepła, czynnik R744, pompa ciepła włączona w układ ogrzewania całego autobusu, o mocy umożliwiającej utrzymanie komfortu termicznego w przestrzeni pasażerskiej i kabinie kierowcy do temperatury otoczenia -5˚C; zalecana łączna moc chłodnicza min. 20 kW oraz zalecana łączna moc ogrzewania pompą ciepła min. 18 kW (przy temperaturze zewnętrznej 0°C); </w:t>
            </w:r>
          </w:p>
          <w:p w14:paraId="5F02D121" w14:textId="77777777" w:rsidR="00473D38" w:rsidRPr="005B0B70" w:rsidRDefault="00473D38" w:rsidP="00473D38">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działające automatycznie, w oparciu o dane rejestrowane przez czujniki temperatury wewnątrz i na zewnątrz autobusu, we współpracy z układem ogrzewania autobusu;</w:t>
            </w:r>
          </w:p>
          <w:p w14:paraId="0A1DB888" w14:textId="77777777" w:rsidR="00473D38" w:rsidRPr="005B0B70" w:rsidRDefault="00473D38" w:rsidP="00473D38">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posiadające funkcję chłodzenia i ogrzewania;</w:t>
            </w:r>
          </w:p>
          <w:p w14:paraId="313CEF35" w14:textId="77777777" w:rsidR="00473D38" w:rsidRPr="005B0B70" w:rsidRDefault="00473D38" w:rsidP="00473D38">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funkcją niezależnego sterowania pracą i regulacji temperatury do temperatury zadanej w kabinie kierowcy oraz przestrzeni pasażerskiej;</w:t>
            </w:r>
          </w:p>
          <w:p w14:paraId="09B187C5"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sterownik umożliwiający zmianę ustawień warunków regulacji temperatury w przestrzeni pasażerskiej w zakresie ±2°C wraz z możliwością pracy w trybie samej wentylacji przestrzeni pasażerskiej;</w:t>
            </w:r>
          </w:p>
          <w:p w14:paraId="7AB236ED"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możliwością pracy w trybie samej wentylacji przestrzeni pasażerskiej;</w:t>
            </w:r>
          </w:p>
          <w:p w14:paraId="21F2224D"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zapewniający skuteczną klimatyzację w tym odwilżanie przestrzeni pasażerskiej;</w:t>
            </w:r>
          </w:p>
          <w:p w14:paraId="611AB5B8"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możliwość wyłączenia w trybie specjalnym pracy klimatyzacji wyłącznie w przestrzeni pasażerskiej;</w:t>
            </w:r>
          </w:p>
          <w:p w14:paraId="58BA3433" w14:textId="77777777" w:rsidR="00473D38" w:rsidRPr="005B0B70" w:rsidRDefault="00473D38" w:rsidP="00473D38">
            <w:pPr>
              <w:numPr>
                <w:ilvl w:val="0"/>
                <w:numId w:val="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możliwość przełączenia w trybie specjalnym</w:t>
            </w:r>
            <w:r w:rsidRPr="005B0B70">
              <w:rPr>
                <w:rStyle w:val="Odwoanieprzypisudolnego"/>
                <w:rFonts w:ascii="Cambria" w:eastAsia="Times New Roman" w:hAnsi="Cambria" w:cs="Times New Roman"/>
                <w:szCs w:val="20"/>
                <w:lang w:eastAsia="pl-PL"/>
              </w:rPr>
              <w:footnoteReference w:id="11"/>
            </w:r>
            <w:r w:rsidRPr="005B0B70">
              <w:rPr>
                <w:rFonts w:ascii="Cambria" w:eastAsia="Times New Roman" w:hAnsi="Cambria" w:cs="Times New Roman"/>
                <w:szCs w:val="20"/>
                <w:lang w:eastAsia="pl-PL"/>
              </w:rPr>
              <w:t xml:space="preserve"> pracy klimatyzacji na pobieranie powietrza z zewnątrz pojazdu;</w:t>
            </w:r>
          </w:p>
          <w:p w14:paraId="7A7178FE" w14:textId="77777777" w:rsidR="00473D38" w:rsidRPr="005B0B70" w:rsidRDefault="00473D38" w:rsidP="00473D38">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moc chłodzenia </w:t>
            </w:r>
            <w:r w:rsidRPr="005B0B70">
              <w:rPr>
                <w:rFonts w:ascii="Cambria" w:eastAsia="Times New Roman" w:hAnsi="Cambria" w:cs="Times New Roman"/>
                <w:lang w:eastAsia="pl-PL"/>
              </w:rPr>
              <w:t>wystarczająca dla spełnienia wymagań dotyczących komfortu termicznego określonych w wytycznych 236 VDV</w:t>
            </w:r>
            <w:r w:rsidRPr="005B0B70">
              <w:rPr>
                <w:rFonts w:ascii="Cambria" w:eastAsia="Times New Roman" w:hAnsi="Cambria" w:cs="Times New Roman"/>
                <w:szCs w:val="20"/>
                <w:lang w:eastAsia="pl-PL"/>
              </w:rPr>
              <w:t xml:space="preserve">; </w:t>
            </w:r>
            <w:r w:rsidRPr="005B0B70">
              <w:rPr>
                <w:rFonts w:ascii="Cambria" w:eastAsia="Times New Roman" w:hAnsi="Cambria" w:cs="Times New Roman"/>
                <w:lang w:eastAsia="pl-PL"/>
              </w:rPr>
              <w:t xml:space="preserve">temperatura w przestrzeni pasażerskiej wg przebiegu krzywej ekonomicznej dla autobusów klasy 1 (miejskich); </w:t>
            </w:r>
          </w:p>
          <w:p w14:paraId="6E3B9AC3" w14:textId="77777777" w:rsidR="00473D38" w:rsidRPr="005B0B70" w:rsidRDefault="00473D38" w:rsidP="00473D38">
            <w:pPr>
              <w:numPr>
                <w:ilvl w:val="0"/>
                <w:numId w:val="5"/>
              </w:num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lang w:eastAsia="pl-PL"/>
              </w:rPr>
              <w:t>automatyczny układ sterowania pracą urządzenia klimatyzacyjnego, we współpracy z urządzeniami ogrzewczymi i wentylacyjnymi, powinien zapewniać uzyskanie następujących temperatur w przestrzeni pasażerskiej autobusu:</w:t>
            </w:r>
          </w:p>
          <w:p w14:paraId="54D0D1FE" w14:textId="77777777" w:rsidR="00A25546" w:rsidRPr="005B0B70" w:rsidRDefault="00A25546" w:rsidP="00A25546">
            <w:pPr>
              <w:spacing w:after="0" w:line="240" w:lineRule="auto"/>
              <w:ind w:left="283"/>
              <w:rPr>
                <w:rFonts w:ascii="Cambria" w:eastAsia="Times New Roman" w:hAnsi="Cambria" w:cs="Times New Roman"/>
                <w:szCs w:val="20"/>
                <w:lang w:eastAsia="pl-PL"/>
              </w:rPr>
            </w:pPr>
          </w:p>
          <w:p w14:paraId="10EE0D3D" w14:textId="77777777" w:rsidR="00877A35" w:rsidRPr="005B0B70" w:rsidRDefault="00877A35" w:rsidP="00877A35">
            <w:pPr>
              <w:spacing w:after="0" w:line="240" w:lineRule="auto"/>
              <w:rPr>
                <w:rFonts w:ascii="Cambria" w:eastAsia="Times New Roman" w:hAnsi="Cambria" w:cs="Times New Roman"/>
                <w:szCs w:val="20"/>
                <w:lang w:eastAsia="pl-PL"/>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689"/>
              <w:gridCol w:w="1554"/>
              <w:gridCol w:w="1990"/>
            </w:tblGrid>
            <w:tr w:rsidR="005B0B70" w:rsidRPr="005B0B70" w14:paraId="1F86C134" w14:textId="77777777" w:rsidTr="00A74EF0">
              <w:trPr>
                <w:jc w:val="center"/>
              </w:trPr>
              <w:tc>
                <w:tcPr>
                  <w:tcW w:w="1422" w:type="dxa"/>
                  <w:shd w:val="clear" w:color="auto" w:fill="auto"/>
                  <w:vAlign w:val="center"/>
                </w:tcPr>
                <w:p w14:paraId="177EA29F"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Temperatura zewnętrzna</w:t>
                  </w:r>
                </w:p>
              </w:tc>
              <w:tc>
                <w:tcPr>
                  <w:tcW w:w="2689" w:type="dxa"/>
                  <w:shd w:val="clear" w:color="auto" w:fill="auto"/>
                  <w:vAlign w:val="center"/>
                </w:tcPr>
                <w:p w14:paraId="70316FD9"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Temperatura wewnętrzna wymagana w przestrzeni pasażerskiej (tolerancja ±°C)</w:t>
                  </w:r>
                </w:p>
              </w:tc>
              <w:tc>
                <w:tcPr>
                  <w:tcW w:w="1554" w:type="dxa"/>
                  <w:shd w:val="clear" w:color="auto" w:fill="auto"/>
                  <w:vAlign w:val="center"/>
                </w:tcPr>
                <w:p w14:paraId="339CB99D"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podstawowe</w:t>
                  </w:r>
                </w:p>
              </w:tc>
              <w:tc>
                <w:tcPr>
                  <w:tcW w:w="1990" w:type="dxa"/>
                  <w:shd w:val="clear" w:color="auto" w:fill="auto"/>
                  <w:vAlign w:val="center"/>
                </w:tcPr>
                <w:p w14:paraId="1E899786"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współpracujące</w:t>
                  </w:r>
                </w:p>
              </w:tc>
            </w:tr>
            <w:tr w:rsidR="005B0B70" w:rsidRPr="005B0B70" w14:paraId="62312E84" w14:textId="77777777" w:rsidTr="00A74EF0">
              <w:trPr>
                <w:jc w:val="center"/>
              </w:trPr>
              <w:tc>
                <w:tcPr>
                  <w:tcW w:w="1422" w:type="dxa"/>
                  <w:shd w:val="clear" w:color="auto" w:fill="auto"/>
                  <w:vAlign w:val="center"/>
                </w:tcPr>
                <w:p w14:paraId="0FAEB359"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≤-20°C</w:t>
                  </w:r>
                </w:p>
              </w:tc>
              <w:tc>
                <w:tcPr>
                  <w:tcW w:w="2689" w:type="dxa"/>
                  <w:shd w:val="clear" w:color="auto" w:fill="auto"/>
                  <w:vAlign w:val="center"/>
                </w:tcPr>
                <w:p w14:paraId="3C230D70"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7°C </w:t>
                  </w:r>
                  <w:r w:rsidRPr="005B0B70">
                    <w:rPr>
                      <w:rFonts w:ascii="Cambria" w:eastAsia="Calibri" w:hAnsi="Cambria" w:cs="Arial"/>
                      <w:sz w:val="20"/>
                      <w:szCs w:val="20"/>
                    </w:rPr>
                    <w:t>(±2˚C)</w:t>
                  </w:r>
                </w:p>
              </w:tc>
              <w:tc>
                <w:tcPr>
                  <w:tcW w:w="1554" w:type="dxa"/>
                  <w:shd w:val="clear" w:color="auto" w:fill="auto"/>
                  <w:vAlign w:val="center"/>
                </w:tcPr>
                <w:p w14:paraId="27C74CB1"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grzewcze</w:t>
                  </w:r>
                </w:p>
              </w:tc>
              <w:tc>
                <w:tcPr>
                  <w:tcW w:w="1990" w:type="dxa"/>
                  <w:shd w:val="clear" w:color="auto" w:fill="auto"/>
                  <w:vAlign w:val="center"/>
                </w:tcPr>
                <w:p w14:paraId="23D5F553"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funkcja ogrzewania urządzeń klimatyzacyjnych</w:t>
                  </w:r>
                </w:p>
              </w:tc>
            </w:tr>
            <w:tr w:rsidR="005B0B70" w:rsidRPr="005B0B70" w14:paraId="7ABA8081" w14:textId="77777777" w:rsidTr="00A74EF0">
              <w:trPr>
                <w:jc w:val="center"/>
              </w:trPr>
              <w:tc>
                <w:tcPr>
                  <w:tcW w:w="1422" w:type="dxa"/>
                  <w:shd w:val="clear" w:color="auto" w:fill="auto"/>
                  <w:vAlign w:val="center"/>
                </w:tcPr>
                <w:p w14:paraId="13D2751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-19,9°C do</w:t>
                  </w:r>
                </w:p>
                <w:p w14:paraId="0BE2C5DB"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-11°C</w:t>
                  </w:r>
                </w:p>
              </w:tc>
              <w:tc>
                <w:tcPr>
                  <w:tcW w:w="2689" w:type="dxa"/>
                  <w:shd w:val="clear" w:color="auto" w:fill="auto"/>
                  <w:vAlign w:val="center"/>
                </w:tcPr>
                <w:p w14:paraId="15CD1583"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podwyższona o 27°C w stosunku do temp. zewn. </w:t>
                  </w:r>
                  <w:r w:rsidRPr="005B0B70">
                    <w:rPr>
                      <w:rFonts w:ascii="Cambria" w:eastAsia="Calibri" w:hAnsi="Cambria" w:cs="Arial"/>
                      <w:sz w:val="20"/>
                      <w:szCs w:val="20"/>
                    </w:rPr>
                    <w:t>(+2˚C/-3˚C)</w:t>
                  </w:r>
                </w:p>
              </w:tc>
              <w:tc>
                <w:tcPr>
                  <w:tcW w:w="1554" w:type="dxa"/>
                  <w:shd w:val="clear" w:color="auto" w:fill="auto"/>
                  <w:vAlign w:val="center"/>
                </w:tcPr>
                <w:p w14:paraId="77BF09D8"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grzewcze</w:t>
                  </w:r>
                </w:p>
              </w:tc>
              <w:tc>
                <w:tcPr>
                  <w:tcW w:w="1990" w:type="dxa"/>
                  <w:shd w:val="clear" w:color="auto" w:fill="auto"/>
                  <w:vAlign w:val="center"/>
                </w:tcPr>
                <w:p w14:paraId="76E999B4"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funkcja ogrzewania urządzeń klimatyzacyjnych</w:t>
                  </w:r>
                </w:p>
              </w:tc>
            </w:tr>
            <w:tr w:rsidR="005B0B70" w:rsidRPr="005B0B70" w14:paraId="5EED9CE2" w14:textId="77777777" w:rsidTr="00A74EF0">
              <w:trPr>
                <w:jc w:val="center"/>
              </w:trPr>
              <w:tc>
                <w:tcPr>
                  <w:tcW w:w="1422" w:type="dxa"/>
                  <w:shd w:val="clear" w:color="auto" w:fill="auto"/>
                  <w:vAlign w:val="center"/>
                </w:tcPr>
                <w:p w14:paraId="5FE0C747"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-10,9°C do 16,9°C</w:t>
                  </w:r>
                </w:p>
              </w:tc>
              <w:tc>
                <w:tcPr>
                  <w:tcW w:w="2689" w:type="dxa"/>
                  <w:shd w:val="clear" w:color="auto" w:fill="auto"/>
                  <w:vAlign w:val="center"/>
                </w:tcPr>
                <w:p w14:paraId="4D49D6B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17°C</w:t>
                  </w:r>
                  <w:r w:rsidRPr="005B0B70">
                    <w:rPr>
                      <w:rFonts w:ascii="Cambria" w:eastAsia="Calibri" w:hAnsi="Cambria" w:cs="Arial"/>
                      <w:sz w:val="20"/>
                      <w:szCs w:val="20"/>
                    </w:rPr>
                    <w:t xml:space="preserve"> (+3˚C/-2˚C)</w:t>
                  </w:r>
                </w:p>
              </w:tc>
              <w:tc>
                <w:tcPr>
                  <w:tcW w:w="1554" w:type="dxa"/>
                  <w:shd w:val="clear" w:color="auto" w:fill="auto"/>
                  <w:vAlign w:val="center"/>
                </w:tcPr>
                <w:p w14:paraId="24BF2836"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grzewcze</w:t>
                  </w:r>
                </w:p>
              </w:tc>
              <w:tc>
                <w:tcPr>
                  <w:tcW w:w="1990" w:type="dxa"/>
                  <w:shd w:val="clear" w:color="auto" w:fill="auto"/>
                  <w:vAlign w:val="center"/>
                </w:tcPr>
                <w:p w14:paraId="54767183"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funkcja ogrzewania urządzeń klimatyzacyjnych</w:t>
                  </w:r>
                </w:p>
              </w:tc>
            </w:tr>
            <w:tr w:rsidR="005B0B70" w:rsidRPr="005B0B70" w14:paraId="0D45644D" w14:textId="77777777" w:rsidTr="00A74EF0">
              <w:trPr>
                <w:jc w:val="center"/>
              </w:trPr>
              <w:tc>
                <w:tcPr>
                  <w:tcW w:w="1422" w:type="dxa"/>
                  <w:shd w:val="clear" w:color="auto" w:fill="auto"/>
                  <w:vAlign w:val="center"/>
                </w:tcPr>
                <w:p w14:paraId="5CA87253"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17°C do 21°C</w:t>
                  </w:r>
                </w:p>
              </w:tc>
              <w:tc>
                <w:tcPr>
                  <w:tcW w:w="2689" w:type="dxa"/>
                  <w:shd w:val="clear" w:color="auto" w:fill="auto"/>
                  <w:vAlign w:val="center"/>
                </w:tcPr>
                <w:p w14:paraId="4536CD64"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 temperaturze zewnętrznej °C </w:t>
                  </w:r>
                  <w:r w:rsidRPr="005B0B70">
                    <w:rPr>
                      <w:rFonts w:ascii="Cambria" w:eastAsia="Calibri" w:hAnsi="Cambria" w:cs="Arial"/>
                      <w:sz w:val="20"/>
                      <w:szCs w:val="20"/>
                    </w:rPr>
                    <w:t>(±2°C)</w:t>
                  </w:r>
                </w:p>
              </w:tc>
              <w:tc>
                <w:tcPr>
                  <w:tcW w:w="1554" w:type="dxa"/>
                  <w:shd w:val="clear" w:color="auto" w:fill="auto"/>
                  <w:vAlign w:val="center"/>
                </w:tcPr>
                <w:p w14:paraId="62725D1A"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c>
                <w:tcPr>
                  <w:tcW w:w="1990" w:type="dxa"/>
                  <w:shd w:val="clear" w:color="auto" w:fill="auto"/>
                  <w:vAlign w:val="center"/>
                </w:tcPr>
                <w:p w14:paraId="586A9E3D"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r>
            <w:tr w:rsidR="005B0B70" w:rsidRPr="005B0B70" w14:paraId="35A294A2" w14:textId="77777777" w:rsidTr="00A74EF0">
              <w:trPr>
                <w:jc w:val="center"/>
              </w:trPr>
              <w:tc>
                <w:tcPr>
                  <w:tcW w:w="1422" w:type="dxa"/>
                  <w:shd w:val="clear" w:color="auto" w:fill="auto"/>
                  <w:vAlign w:val="center"/>
                </w:tcPr>
                <w:p w14:paraId="3A25A52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lastRenderedPageBreak/>
                    <w:t>21,1°C do 26°C</w:t>
                  </w:r>
                </w:p>
              </w:tc>
              <w:tc>
                <w:tcPr>
                  <w:tcW w:w="2689" w:type="dxa"/>
                  <w:shd w:val="clear" w:color="auto" w:fill="auto"/>
                  <w:vAlign w:val="center"/>
                </w:tcPr>
                <w:p w14:paraId="513DB870"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22°C </w:t>
                  </w:r>
                  <w:r w:rsidRPr="005B0B70">
                    <w:rPr>
                      <w:rFonts w:ascii="Cambria" w:eastAsia="Calibri" w:hAnsi="Cambria" w:cs="Arial"/>
                      <w:sz w:val="20"/>
                      <w:szCs w:val="20"/>
                    </w:rPr>
                    <w:t>(+1/-2°C)</w:t>
                  </w:r>
                </w:p>
              </w:tc>
              <w:tc>
                <w:tcPr>
                  <w:tcW w:w="1554" w:type="dxa"/>
                  <w:shd w:val="clear" w:color="auto" w:fill="auto"/>
                  <w:vAlign w:val="center"/>
                </w:tcPr>
                <w:p w14:paraId="47D97069"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7BBA502C"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3614619A" w14:textId="77777777" w:rsidTr="00A74EF0">
              <w:trPr>
                <w:jc w:val="center"/>
              </w:trPr>
              <w:tc>
                <w:tcPr>
                  <w:tcW w:w="1422" w:type="dxa"/>
                  <w:shd w:val="clear" w:color="auto" w:fill="auto"/>
                  <w:vAlign w:val="center"/>
                </w:tcPr>
                <w:p w14:paraId="392CCD04"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26,1°C do 29°C</w:t>
                  </w:r>
                </w:p>
              </w:tc>
              <w:tc>
                <w:tcPr>
                  <w:tcW w:w="2689" w:type="dxa"/>
                  <w:shd w:val="clear" w:color="auto" w:fill="auto"/>
                  <w:vAlign w:val="center"/>
                </w:tcPr>
                <w:p w14:paraId="06C1D4D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obniżona o 4°C w stosunku do temp. zewn. </w:t>
                  </w:r>
                  <w:r w:rsidRPr="005B0B70">
                    <w:rPr>
                      <w:rFonts w:ascii="Cambria" w:eastAsia="Calibri" w:hAnsi="Cambria" w:cs="Arial"/>
                      <w:sz w:val="20"/>
                      <w:szCs w:val="20"/>
                    </w:rPr>
                    <w:t>(+1˚C/-3˚C)</w:t>
                  </w:r>
                </w:p>
              </w:tc>
              <w:tc>
                <w:tcPr>
                  <w:tcW w:w="1554" w:type="dxa"/>
                  <w:shd w:val="clear" w:color="auto" w:fill="auto"/>
                  <w:vAlign w:val="center"/>
                </w:tcPr>
                <w:p w14:paraId="550F1365"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3E67FAFC"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3EDDB0F2" w14:textId="77777777" w:rsidTr="00A74EF0">
              <w:trPr>
                <w:jc w:val="center"/>
              </w:trPr>
              <w:tc>
                <w:tcPr>
                  <w:tcW w:w="1422" w:type="dxa"/>
                  <w:shd w:val="clear" w:color="auto" w:fill="auto"/>
                  <w:vAlign w:val="center"/>
                </w:tcPr>
                <w:p w14:paraId="46F1126F"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29,1°C do 29,9°C</w:t>
                  </w:r>
                </w:p>
              </w:tc>
              <w:tc>
                <w:tcPr>
                  <w:tcW w:w="2689" w:type="dxa"/>
                  <w:shd w:val="clear" w:color="auto" w:fill="auto"/>
                  <w:vAlign w:val="center"/>
                </w:tcPr>
                <w:p w14:paraId="295CFCB9"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25°C </w:t>
                  </w:r>
                  <w:r w:rsidRPr="005B0B70">
                    <w:rPr>
                      <w:rFonts w:ascii="Cambria" w:eastAsia="Calibri" w:hAnsi="Cambria" w:cs="Arial"/>
                      <w:sz w:val="20"/>
                      <w:szCs w:val="20"/>
                    </w:rPr>
                    <w:t>(+1/-3°C)</w:t>
                  </w:r>
                </w:p>
              </w:tc>
              <w:tc>
                <w:tcPr>
                  <w:tcW w:w="1554" w:type="dxa"/>
                  <w:shd w:val="clear" w:color="auto" w:fill="auto"/>
                  <w:vAlign w:val="center"/>
                </w:tcPr>
                <w:p w14:paraId="6F581B39"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221947A1"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74063D37" w14:textId="77777777" w:rsidTr="00A74EF0">
              <w:trPr>
                <w:jc w:val="center"/>
              </w:trPr>
              <w:tc>
                <w:tcPr>
                  <w:tcW w:w="1422" w:type="dxa"/>
                  <w:shd w:val="clear" w:color="auto" w:fill="auto"/>
                  <w:vAlign w:val="center"/>
                </w:tcPr>
                <w:p w14:paraId="59DA1C5D"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30°C do 34°C</w:t>
                  </w:r>
                </w:p>
              </w:tc>
              <w:tc>
                <w:tcPr>
                  <w:tcW w:w="2689" w:type="dxa"/>
                  <w:shd w:val="clear" w:color="auto" w:fill="auto"/>
                  <w:vAlign w:val="center"/>
                </w:tcPr>
                <w:p w14:paraId="1F7EFD92"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obniżona o 5°C w stosunku do temp. zewn. </w:t>
                  </w:r>
                  <w:r w:rsidRPr="005B0B70">
                    <w:rPr>
                      <w:rFonts w:ascii="Cambria" w:eastAsia="Calibri" w:hAnsi="Cambria" w:cs="Arial"/>
                      <w:sz w:val="20"/>
                      <w:szCs w:val="20"/>
                    </w:rPr>
                    <w:t>(+1˚C/-3˚C)</w:t>
                  </w:r>
                </w:p>
              </w:tc>
              <w:tc>
                <w:tcPr>
                  <w:tcW w:w="1554" w:type="dxa"/>
                  <w:shd w:val="clear" w:color="auto" w:fill="auto"/>
                  <w:vAlign w:val="center"/>
                </w:tcPr>
                <w:p w14:paraId="65D27F16"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57625FE8"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3A85B4E6" w14:textId="77777777" w:rsidTr="00A74EF0">
              <w:trPr>
                <w:jc w:val="center"/>
              </w:trPr>
              <w:tc>
                <w:tcPr>
                  <w:tcW w:w="1422" w:type="dxa"/>
                  <w:shd w:val="clear" w:color="auto" w:fill="auto"/>
                  <w:vAlign w:val="center"/>
                </w:tcPr>
                <w:p w14:paraId="2E676370"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34,1°C do 34,9°C</w:t>
                  </w:r>
                </w:p>
              </w:tc>
              <w:tc>
                <w:tcPr>
                  <w:tcW w:w="2689" w:type="dxa"/>
                  <w:shd w:val="clear" w:color="auto" w:fill="auto"/>
                  <w:vAlign w:val="center"/>
                </w:tcPr>
                <w:p w14:paraId="4F5E8E49"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29°C </w:t>
                  </w:r>
                  <w:r w:rsidRPr="005B0B70">
                    <w:rPr>
                      <w:rFonts w:ascii="Cambria" w:eastAsia="Calibri" w:hAnsi="Cambria" w:cs="Arial"/>
                      <w:sz w:val="20"/>
                      <w:szCs w:val="20"/>
                    </w:rPr>
                    <w:t>(+1/-3°C)</w:t>
                  </w:r>
                </w:p>
              </w:tc>
              <w:tc>
                <w:tcPr>
                  <w:tcW w:w="1554" w:type="dxa"/>
                  <w:shd w:val="clear" w:color="auto" w:fill="auto"/>
                  <w:vAlign w:val="center"/>
                </w:tcPr>
                <w:p w14:paraId="7985751C"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0FEAB746"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r w:rsidR="005B0B70" w:rsidRPr="005B0B70" w14:paraId="64F9D78F" w14:textId="77777777" w:rsidTr="00A74EF0">
              <w:trPr>
                <w:jc w:val="center"/>
              </w:trPr>
              <w:tc>
                <w:tcPr>
                  <w:tcW w:w="1422" w:type="dxa"/>
                  <w:shd w:val="clear" w:color="auto" w:fill="auto"/>
                  <w:vAlign w:val="center"/>
                </w:tcPr>
                <w:p w14:paraId="3679A56F"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&gt;=35°C</w:t>
                  </w:r>
                </w:p>
              </w:tc>
              <w:tc>
                <w:tcPr>
                  <w:tcW w:w="2689" w:type="dxa"/>
                  <w:shd w:val="clear" w:color="auto" w:fill="auto"/>
                  <w:vAlign w:val="center"/>
                </w:tcPr>
                <w:p w14:paraId="73CC70E8" w14:textId="77777777" w:rsidR="00877A35" w:rsidRPr="005B0B70" w:rsidRDefault="00877A35" w:rsidP="00877A35">
                  <w:pPr>
                    <w:suppressAutoHyphens/>
                    <w:spacing w:after="0" w:line="240" w:lineRule="auto"/>
                    <w:jc w:val="center"/>
                    <w:rPr>
                      <w:rFonts w:ascii="Cambria" w:eastAsia="Calibri" w:hAnsi="Cambria" w:cs="Arial"/>
                    </w:rPr>
                  </w:pPr>
                  <w:r w:rsidRPr="005B0B70">
                    <w:rPr>
                      <w:rFonts w:ascii="Cambria" w:eastAsia="Calibri" w:hAnsi="Cambria" w:cs="Arial"/>
                    </w:rPr>
                    <w:t xml:space="preserve">obniżona o 6°C w stosunku do temp. zewn. </w:t>
                  </w:r>
                  <w:r w:rsidRPr="005B0B70">
                    <w:rPr>
                      <w:rFonts w:ascii="Cambria" w:eastAsia="Calibri" w:hAnsi="Cambria" w:cs="Arial"/>
                      <w:sz w:val="20"/>
                      <w:szCs w:val="20"/>
                    </w:rPr>
                    <w:t>(+1˚C/-3˚C)</w:t>
                  </w:r>
                </w:p>
              </w:tc>
              <w:tc>
                <w:tcPr>
                  <w:tcW w:w="1554" w:type="dxa"/>
                  <w:shd w:val="clear" w:color="auto" w:fill="auto"/>
                  <w:vAlign w:val="center"/>
                </w:tcPr>
                <w:p w14:paraId="05146F78"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klimatyzacyjne</w:t>
                  </w:r>
                </w:p>
              </w:tc>
              <w:tc>
                <w:tcPr>
                  <w:tcW w:w="1990" w:type="dxa"/>
                  <w:shd w:val="clear" w:color="auto" w:fill="auto"/>
                  <w:vAlign w:val="center"/>
                </w:tcPr>
                <w:p w14:paraId="7C04F361" w14:textId="77777777" w:rsidR="00877A35" w:rsidRPr="005B0B70" w:rsidRDefault="00877A35" w:rsidP="00877A35">
                  <w:pPr>
                    <w:suppressAutoHyphens/>
                    <w:spacing w:after="0" w:line="240" w:lineRule="auto"/>
                    <w:jc w:val="center"/>
                    <w:rPr>
                      <w:rFonts w:ascii="Cambria" w:eastAsia="Calibri" w:hAnsi="Cambria" w:cs="Arial"/>
                      <w:sz w:val="20"/>
                      <w:szCs w:val="20"/>
                    </w:rPr>
                  </w:pPr>
                  <w:r w:rsidRPr="005B0B70">
                    <w:rPr>
                      <w:rFonts w:ascii="Cambria" w:eastAsia="Calibri" w:hAnsi="Cambria" w:cs="Arial"/>
                      <w:sz w:val="20"/>
                      <w:szCs w:val="20"/>
                    </w:rPr>
                    <w:t>urządzenia wentylacyjne</w:t>
                  </w:r>
                </w:p>
              </w:tc>
            </w:tr>
          </w:tbl>
          <w:p w14:paraId="5FCF6496" w14:textId="77777777" w:rsidR="00877A35" w:rsidRPr="005B0B70" w:rsidRDefault="00877A35" w:rsidP="00877A35">
            <w:pPr>
              <w:spacing w:after="0" w:line="240" w:lineRule="auto"/>
              <w:rPr>
                <w:rFonts w:ascii="Cambria" w:eastAsia="Times New Roman" w:hAnsi="Cambria" w:cs="Times New Roman"/>
                <w:szCs w:val="20"/>
                <w:lang w:eastAsia="pl-PL"/>
              </w:rPr>
            </w:pPr>
          </w:p>
          <w:p w14:paraId="3252ADF4" w14:textId="14FDB57C"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wyposażone w system antybakteryjny, wykorzystujący lampy UV do sterylizacji nadmuchiwanego powietrza lub wysokowydajne filtry antywirusowe zgodne z</w:t>
            </w:r>
            <w:r w:rsidR="00AD6804"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normą ISO 18184, skutecznie neutralizujące ok. 99% drobnoustrojów</w:t>
            </w:r>
            <w:r w:rsidR="00960549" w:rsidRPr="005B0B70">
              <w:rPr>
                <w:rFonts w:ascii="Cambria" w:eastAsia="Times New Roman" w:hAnsi="Cambria" w:cs="Times New Roman"/>
                <w:szCs w:val="20"/>
                <w:lang w:eastAsia="pl-PL"/>
              </w:rPr>
              <w:t>;</w:t>
            </w:r>
          </w:p>
          <w:p w14:paraId="28E82CDA" w14:textId="7BE9B613"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warunki pomiaru temperatury </w:t>
            </w:r>
            <w:r w:rsidRPr="005B0B70">
              <w:rPr>
                <w:rFonts w:ascii="Cambria" w:eastAsia="Times New Roman" w:hAnsi="Cambria" w:cs="Times New Roman"/>
                <w:lang w:eastAsia="pl-PL"/>
              </w:rPr>
              <w:t>w przestrzeni pasażerskiej</w:t>
            </w:r>
            <w:r w:rsidRPr="005B0B70">
              <w:rPr>
                <w:rFonts w:ascii="Cambria" w:eastAsia="Times New Roman" w:hAnsi="Cambria" w:cs="Times New Roman"/>
                <w:szCs w:val="20"/>
                <w:lang w:eastAsia="pl-PL"/>
              </w:rPr>
              <w:t>: okna i drzwi zamknięte, pomiar w części środkowej poza strefami drzwi na wysokości 1,2 m od podłogi, tolerancja pomiaru temperatury ± 2 °C, różnica temperatur pomiędzy częściami przestrzeni pasażerskiej o skrajnych temperaturach nie większa niż 4</w:t>
            </w:r>
            <w:r w:rsidR="00C5685E"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°C</w:t>
            </w:r>
            <w:r w:rsidR="00960549" w:rsidRPr="005B0B70">
              <w:rPr>
                <w:rFonts w:ascii="Cambria" w:eastAsia="Times New Roman" w:hAnsi="Cambria" w:cs="Times New Roman"/>
                <w:szCs w:val="20"/>
                <w:lang w:eastAsia="pl-PL"/>
              </w:rPr>
              <w:t>;</w:t>
            </w:r>
          </w:p>
          <w:p w14:paraId="6E0D7E69" w14:textId="71AB6CB3"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w:t>
            </w:r>
            <w:r w:rsidR="00AD6804"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urządzenia klimatyzacyjnego nie może powodować dyskomfortu (odczucia chłodu lub uciążliwego hałasu związanego z pracą urządzenia) dla pasażerów siedzących i stojących w każdym miejscu przestrzeni pasażerskiej</w:t>
            </w:r>
            <w:r w:rsidR="00960549" w:rsidRPr="005B0B70">
              <w:rPr>
                <w:rFonts w:ascii="Cambria" w:eastAsia="Times New Roman" w:hAnsi="Cambria" w:cs="Times New Roman"/>
                <w:szCs w:val="20"/>
                <w:lang w:eastAsia="pl-PL"/>
              </w:rPr>
              <w:t>;</w:t>
            </w:r>
          </w:p>
          <w:p w14:paraId="16B76C78" w14:textId="6845CB61"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miejscu łatwo dostępnym musi być zamontowane odpowiednie szybkozłącze kątowe umożliwiające podłączenie urządzenia do obsługi klimatyzacji</w:t>
            </w:r>
            <w:r w:rsidR="00960549" w:rsidRPr="005B0B70">
              <w:rPr>
                <w:rFonts w:ascii="Cambria" w:eastAsia="Times New Roman" w:hAnsi="Cambria" w:cs="Times New Roman"/>
                <w:szCs w:val="20"/>
                <w:lang w:eastAsia="pl-PL"/>
              </w:rPr>
              <w:t>;</w:t>
            </w:r>
          </w:p>
          <w:p w14:paraId="15C907D8" w14:textId="64B58D81" w:rsidR="00877A35" w:rsidRPr="005B0B70" w:rsidRDefault="00877A35" w:rsidP="00F71F95">
            <w:pPr>
              <w:numPr>
                <w:ilvl w:val="0"/>
                <w:numId w:val="5"/>
              </w:numPr>
              <w:spacing w:after="0" w:line="240" w:lineRule="auto"/>
              <w:ind w:left="283" w:hanging="283"/>
              <w:jc w:val="both"/>
              <w:rPr>
                <w:rFonts w:ascii="Cambria" w:eastAsia="Times New Roman" w:hAnsi="Cambria" w:cs="Times New Roman"/>
                <w:strike/>
                <w:szCs w:val="20"/>
                <w:lang w:eastAsia="pl-PL"/>
              </w:rPr>
            </w:pPr>
            <w:r w:rsidRPr="005B0B70">
              <w:rPr>
                <w:rFonts w:ascii="Cambria" w:eastAsia="Times New Roman" w:hAnsi="Cambria" w:cs="Times New Roman"/>
                <w:szCs w:val="20"/>
                <w:lang w:eastAsia="pl-PL"/>
              </w:rPr>
              <w:t>zalecane zastosowanie filtra powietrza urządzenia klimatyzacyjnego centralnego, wielokrotnego użycia, np. metalowego</w:t>
            </w:r>
            <w:r w:rsidR="00960549" w:rsidRPr="005B0B70">
              <w:rPr>
                <w:rFonts w:ascii="Cambria" w:eastAsia="Times New Roman" w:hAnsi="Cambria" w:cs="Times New Roman"/>
                <w:szCs w:val="20"/>
                <w:lang w:eastAsia="pl-PL"/>
              </w:rPr>
              <w:t>;</w:t>
            </w:r>
          </w:p>
        </w:tc>
      </w:tr>
      <w:tr w:rsidR="005B0B70" w:rsidRPr="005B0B70" w14:paraId="4AF289D1" w14:textId="77777777" w:rsidTr="008B1FA0">
        <w:tc>
          <w:tcPr>
            <w:tcW w:w="379" w:type="dxa"/>
          </w:tcPr>
          <w:p w14:paraId="6C2E3E05" w14:textId="77777777" w:rsidR="00F71F95" w:rsidRPr="005B0B70" w:rsidRDefault="00F71F95" w:rsidP="00F71F95">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50E30D0" w14:textId="6434432E" w:rsidR="00F71F95" w:rsidRPr="005B0B70" w:rsidRDefault="00F71F95" w:rsidP="00F71F9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Układ elektryczny</w:t>
            </w:r>
          </w:p>
        </w:tc>
        <w:tc>
          <w:tcPr>
            <w:tcW w:w="7882" w:type="dxa"/>
          </w:tcPr>
          <w:p w14:paraId="3A37A13C"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kompletacja zespołów i podzespołów układu identyczna dla całej dostawy oraz zgodna z dostarczonym schematem instalacji elektrycznej;</w:t>
            </w:r>
          </w:p>
          <w:p w14:paraId="03313AB7"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zastosowany system identyfikacji przewodów, końcówek, złączy itp. jednoznaczny, identyczny dla całej dostawy, zgodny z opisem w dostarczonym schemacie instalacji elektrycznej;</w:t>
            </w:r>
          </w:p>
          <w:p w14:paraId="12A62FA3"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szczelny, złącza elektryczne i wiązki przewodów zabezpieczone przed wilgocią;</w:t>
            </w:r>
          </w:p>
          <w:p w14:paraId="0C7E39B1"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tablica elektrotechniczna umieszczona w przestrzeni pasażerskiej – zalecane umieszczenie za kabiną kierowcy lub w części sufitowej obok kabiny kierowcy (dopuszcza się umieszczenie pod klapą montażową z lewej strony obok kabiny kierowcy, dopuszcza się również rozlokowanie tablic technicznych w całym autobusie, z zachowaniem swobodnego dostępu do urządzeń); wyposażona w opis funkcyjny bezpieczników i przekaźników;</w:t>
            </w:r>
          </w:p>
          <w:p w14:paraId="6177EBA1"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bezpieczniki w instalacji elektrycznej </w:t>
            </w:r>
            <w:r w:rsidRPr="005B0B70">
              <w:rPr>
                <w:rFonts w:ascii="Cambria" w:eastAsia="Times New Roman" w:hAnsi="Cambria" w:cs="Times New Roman"/>
                <w:lang w:eastAsia="pl-PL"/>
              </w:rPr>
              <w:t>zabezpieczające obwody o poborze prądu do 30A,</w:t>
            </w:r>
            <w:r w:rsidRPr="005B0B70">
              <w:rPr>
                <w:rFonts w:ascii="Cambria" w:eastAsia="Times New Roman" w:hAnsi="Cambria" w:cs="Times New Roman"/>
                <w:szCs w:val="20"/>
                <w:lang w:eastAsia="pl-PL"/>
              </w:rPr>
              <w:t xml:space="preserve"> wyłącznie automatyczne;</w:t>
            </w:r>
          </w:p>
          <w:p w14:paraId="50975F65"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elektroniczne urządzenia sterujące umiejscowione w sposób umożliwiający diagnozowanie podczas jazdy autobusem; </w:t>
            </w:r>
          </w:p>
          <w:p w14:paraId="5A3392B6"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lastRenderedPageBreak/>
              <w:t>deska rozdzielcza w kabinie kierowcy ergonomiczna, wyposażona w drogomierz i prędkościomierz, posiadająca zestaw wskaźników umiejscowiony pośrodku deski rozdzielczej kierowcy z umieszczonym centralnie wyświetlaczem LCD min. 4,5”</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lang w:eastAsia="pl-PL"/>
              </w:rPr>
              <w:t>(zalecane rozwiązania z możliwie dużym ok. 10”), przekazujący kierowcy na wyświetlaczu LCD informacje o aktualnym stanie pojazdu i sygnalizację uszkodzeń, awarii podzespołów); w autobusach nie dopuszcza się montażu tachografów;</w:t>
            </w:r>
            <w:r w:rsidRPr="005B0B70">
              <w:rPr>
                <w:rFonts w:ascii="Cambria" w:eastAsia="Times New Roman" w:hAnsi="Cambria" w:cs="Times New Roman"/>
                <w:szCs w:val="20"/>
                <w:lang w:eastAsia="pl-PL"/>
              </w:rPr>
              <w:t xml:space="preserve"> </w:t>
            </w:r>
          </w:p>
          <w:p w14:paraId="079034F9"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urządzenie uniemożliwiające uruchomienie silnika przez osoby znajdujące się pod wpływem alkoholu. Szczegółowo system alko-blokady opisano w punkcie 40;</w:t>
            </w:r>
          </w:p>
          <w:p w14:paraId="424CFAAA"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wyłącznik główny instalacji elektrycznej sterowany zdalnie (elektrycznie); przycisk sterujący (z diodą sygnalizującą załączenie wyłącznika głównego) umieszczony w pobliżu dodatkowego ukrytego przycisku zewnętrznego do zamykania i otwierania przez kierowcę przedniego skrzydła I drzwi lub przycisk sterujący umieszczony na stanowisku kierowcy przy równoczesnym zasilaniu układu zamykania i otwierania przez kierowcę przedniego skrzydła I drzwi z pominięciem wyłącznika głównego instalacji elektrycznej; dostęp do mechanicznego sterowania wyłącznikiem głównym musi być zapewniony przez specjalną klapkę dostępową oznaczoną wyraźnym napisem „wyłącznik prądu” (napis czarny na żółtym tle), bez otwierania żadnej z klap obsługowych (klapka bez zamka, zalecane wykorzystanie klapki stosowanej do wlewu paliwa)</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szCs w:val="20"/>
                <w:lang w:eastAsia="pl-PL"/>
              </w:rPr>
              <w:t>lokalizacja włącznika głównego – prawa lub lewa strona autobusu, dopuszcza się umieszczenie włącznika głównego z lewej strony autobusu, pod oknem kierowcy;</w:t>
            </w:r>
          </w:p>
          <w:p w14:paraId="1E392D2B"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umożliwiający podczas postoju pojazdu, przy wyłączonym silniku (wyłączonej stacyjce), funkcjonowanie następujących układów: systemu tablic kierunkowych zewnętrznych Systemu Informacji Liniowej i Systemu Automatycznego Zliczania Pasażerów (zawsze) oraz Systemu Sterowania Drzwiami, oświetlenia;  </w:t>
            </w:r>
          </w:p>
          <w:p w14:paraId="12868332"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światła LED do jazdy dziennej, zgodne z obowiązującymi przepisami; zalecane zamontowanie świateł do jazdy dziennej poza zderzakiem przednim;</w:t>
            </w:r>
          </w:p>
          <w:p w14:paraId="4D63CDF6"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dodatkowe światło „STOP” kategorii S3 lub w dwa dodatkowe światła „STOP” górne, kategorii S1 lub S2;</w:t>
            </w:r>
          </w:p>
          <w:p w14:paraId="08E12412"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dwa dodatkowe światła kierunkowskazów, tylne górne</w:t>
            </w:r>
          </w:p>
          <w:p w14:paraId="403187E0"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oświetlenie zewnętrzne autobusu wykonane przy maksymalnym wykorzystaniu technologii LED;  </w:t>
            </w:r>
          </w:p>
          <w:p w14:paraId="47368533" w14:textId="77777777" w:rsidR="00F71F95" w:rsidRPr="005B0B70" w:rsidRDefault="00F71F95" w:rsidP="00F71F95">
            <w:pPr>
              <w:numPr>
                <w:ilvl w:val="0"/>
                <w:numId w:val="28"/>
              </w:numPr>
              <w:spacing w:after="0" w:line="240" w:lineRule="auto"/>
              <w:contextualSpacing/>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oświetlenie obszaru drzwi (stopień wejściowy), wykonane w technologii LED, zapalające się automatycznie po otwarciu drzwi i świecące się w sposób ciągły do momentu całkowitego ich zamknięcia, gdy aktywne jest oświetlenie pojazdu (światła mijania); lampy oświetlające umieszczone wewnątrz autobusu nad drzwiami, w osi otworu drzwi (dopuszczalne przesunięcie lamp względem osi drzwi do 150 mm lub zastosowanie nad drzwiami więcej niż jednego punktu świetlnego przy czym dopuszczalne jest odsunięcie lamp względem osi drzwi nie dalej niż 250 mm); lampy drzwi przednich umieszczone w zagłębieniu lub posiadająca odpowiednią osłonę (nie powodująca oślepiania kierowcy bezpośrednio lub przez lusterka wewnętrzne);</w:t>
            </w:r>
          </w:p>
          <w:p w14:paraId="11A0D3CA" w14:textId="77777777" w:rsidR="00F71F95" w:rsidRPr="005B0B70" w:rsidRDefault="00F71F95" w:rsidP="00F71F95">
            <w:pPr>
              <w:numPr>
                <w:ilvl w:val="0"/>
                <w:numId w:val="28"/>
              </w:numPr>
              <w:spacing w:after="0" w:line="240" w:lineRule="auto"/>
              <w:contextualSpacing/>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wyposażony w oświetlenie oświetlające przestrzeń pod progiem drzwi wykonane w technologii LED w postaci listwy o długości nie mniej niż 800 mm, w obudowie IP67; zapalające się automatycznie po otwarciu drzwi i świecące się w sposób ciągły do momentu całkowitego ich zamknięcia; nie powodujące oślepiania kierowcy przez lusterka zewnętrzne); wykonanie odporne na </w:t>
            </w:r>
            <w:r w:rsidRPr="005B0B70">
              <w:rPr>
                <w:rFonts w:ascii="Cambria" w:eastAsia="Times New Roman" w:hAnsi="Cambria" w:cs="Times New Roman"/>
                <w:szCs w:val="20"/>
                <w:lang w:eastAsia="pl-PL"/>
              </w:rPr>
              <w:lastRenderedPageBreak/>
              <w:t>uszkodzenia mechaniczne np. w wyfrezowanym otworze pod progiem drzwi niepowodującym osłabienia konstrukcji podłogi;</w:t>
            </w:r>
          </w:p>
          <w:p w14:paraId="61E9B330" w14:textId="77777777" w:rsidR="00F71F95" w:rsidRPr="005B0B70" w:rsidRDefault="00F71F95" w:rsidP="00F71F95">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lampy oświetlenia przestrzeni pasażerskiej rozmieszczone równomiernie w dwóch lub w trzech ciągach wzdłuż autobusu, wykonane w technologii LED, nie powodujące oślepiania kierowcy (także poprzez lusterka wewnętrzne); dopuszczalne zastosowanie oświetlenia w postaci wielu ciągów oświetlenia rozmieszczonych w poprzek autobusu, rozmieszczonych nie rzadziej niż co 1100 mm, skrajne (zewnętrzne) krawędzie ciągów nie dalej niż 900 mm od ścian bocznych;  lampy oświetlenia przedniej części wnętrza autobusu posiadające możliwość niezależnego wyłączenia lub zmniejszenia jasności świecenia;</w:t>
            </w:r>
          </w:p>
          <w:p w14:paraId="5D8C2B3A" w14:textId="4C694E9E" w:rsidR="00F71F95" w:rsidRPr="005B0B70" w:rsidRDefault="00F71F95" w:rsidP="00F71F95">
            <w:pPr>
              <w:numPr>
                <w:ilvl w:val="0"/>
                <w:numId w:val="28"/>
              </w:numPr>
              <w:spacing w:after="0" w:line="240" w:lineRule="auto"/>
              <w:contextualSpacing/>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dla zminimalizowania refleksów powstających w przedniej szybie prowadzącego pojazd możliwość ograniczenia, niezależnego wyłączenia lub zmniejszenia jasności świecenia lamp oświetlenia przedniej części wnętrza autobusu lub możliwość dodatkowego ograniczenia intensywności oświetlenia wewnętrznego zależnego wyłącznie od warunków zewnętrznych (np. automatyczne przyciemnienie podczas przejazdu nieoświetlonymi drogami);</w:t>
            </w:r>
          </w:p>
          <w:p w14:paraId="392E940D" w14:textId="65633466"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zamontowane w przestrzeni pasażerskiej ładowarki USB 5V/2A, przeznaczone dla pasażerów do zasilania urządzeń elektronicznych, aktywne podczas jazdy oraz podczas postoju autobusu na pętli z dostępnością dla pasażerów;</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szCs w:val="20"/>
                <w:lang w:eastAsia="pl-PL"/>
              </w:rPr>
              <w:t>wyposażone w złącza USB-A oraz USB-C; 3 sztuki, zamontowane na pionowych słupkach; gniazda podwójne, obudowa w kolorze niebieskim lub szarym, wyposażone w zatyczkę i podświetlenie na niebiesko w stanie aktywności;</w:t>
            </w:r>
          </w:p>
        </w:tc>
      </w:tr>
      <w:tr w:rsidR="005B0B70" w:rsidRPr="005B0B70" w14:paraId="5BF8652E" w14:textId="77777777" w:rsidTr="008B1FA0">
        <w:tc>
          <w:tcPr>
            <w:tcW w:w="379" w:type="dxa"/>
          </w:tcPr>
          <w:p w14:paraId="559E019F"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29B123C7" w14:textId="23378366"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w:t>
            </w:r>
            <w:r w:rsidR="00877A35" w:rsidRPr="005B0B70">
              <w:rPr>
                <w:rFonts w:ascii="Cambria" w:eastAsia="Times New Roman" w:hAnsi="Cambria" w:cs="Times New Roman"/>
                <w:szCs w:val="20"/>
                <w:lang w:eastAsia="pl-PL"/>
              </w:rPr>
              <w:t>ochylnia (rampa) dla wózka inwalidzkiego</w:t>
            </w:r>
          </w:p>
        </w:tc>
        <w:tc>
          <w:tcPr>
            <w:tcW w:w="7882" w:type="dxa"/>
          </w:tcPr>
          <w:p w14:paraId="57AE7DC7" w14:textId="77777777"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spełniająca wymagania załącznika nr 8 do Regulaminu nr 107 EKG ONZ;</w:t>
            </w:r>
          </w:p>
          <w:p w14:paraId="5C1C1E92" w14:textId="77777777"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posiadająca umieszczoną przez producenta w sposób trwały informację o wielkości dopuszczalnego obciążenia w kg; informacja musi być widoczna po otworzeniu rampy, musi być jednoznaczna i czytelna dla osoby korzystającej;</w:t>
            </w:r>
          </w:p>
          <w:p w14:paraId="3DCDBABB" w14:textId="77777777"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umiejscowiona w drugich drzwiach; odkładana ręcznie, obsługiwana przez kierowcę przy pomocy specjalnego ergonomicznego uchwytu typu haczyk z rękojeścią oraz za pomocą uchwytu chowanego w klapie umożliwiającego otwarcie bez korzystania z dodatkowych narzędzi;</w:t>
            </w:r>
          </w:p>
          <w:p w14:paraId="18815CCC" w14:textId="77777777" w:rsidR="00F71F9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czujnik otwarcia z blokadą zamknięcia drzwi i informacją na wyświetlaczu kierowcy;</w:t>
            </w:r>
          </w:p>
          <w:p w14:paraId="4EEFAE23" w14:textId="35D1AED0" w:rsidR="00877A3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wnęka na rampę w podłodze z otworem odwadniającym lub ukształtowana w sposób umożliwiający samoczynny, grawitacyjny spływ wody. Ukształtowanie wnęki ułatwiające przejechanie kołami nieamortyzowanymi (np. przednie koła wózka inwalidzkiego);</w:t>
            </w:r>
          </w:p>
        </w:tc>
      </w:tr>
      <w:tr w:rsidR="005B0B70" w:rsidRPr="005B0B70" w14:paraId="170A6FD6" w14:textId="77777777" w:rsidTr="008B1FA0">
        <w:trPr>
          <w:cantSplit/>
        </w:trPr>
        <w:tc>
          <w:tcPr>
            <w:tcW w:w="379" w:type="dxa"/>
          </w:tcPr>
          <w:p w14:paraId="634E8833"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56CBFB58" w14:textId="7F0E4B63" w:rsidR="00877A35" w:rsidRPr="005B0B70" w:rsidRDefault="009E2BA4"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chowki montażowe</w:t>
            </w:r>
          </w:p>
        </w:tc>
        <w:tc>
          <w:tcPr>
            <w:tcW w:w="7882" w:type="dxa"/>
          </w:tcPr>
          <w:p w14:paraId="6A76519B" w14:textId="77777777" w:rsidR="00877A35" w:rsidRPr="005B0B70" w:rsidRDefault="00877A3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klapy schowków montażowych, obsługowych oraz klapy komory silnika zewnętrzne mocowane do nadwozia na zawiasach oraz:</w:t>
            </w:r>
          </w:p>
          <w:p w14:paraId="5825A410" w14:textId="7B21B154" w:rsidR="00877A35" w:rsidRPr="005B0B70" w:rsidRDefault="00877A35" w:rsidP="00AD6804">
            <w:pPr>
              <w:numPr>
                <w:ilvl w:val="0"/>
                <w:numId w:val="10"/>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otwierane do góry – zabezpieczane w pozycji otwartej w sposób wykluczający samoczynne zamknięcie, kąt otwarcia co najmniej 110°, dopuszcza się mniejszy kąt otwarcia dla klap usytuowanych w górnej części nadwozia, w linii okien</w:t>
            </w:r>
            <w:r w:rsidR="00D22453" w:rsidRPr="005B0B70">
              <w:rPr>
                <w:rFonts w:ascii="Cambria" w:eastAsia="Times New Roman" w:hAnsi="Cambria" w:cs="Times New Roman"/>
                <w:szCs w:val="20"/>
                <w:lang w:eastAsia="pl-PL"/>
              </w:rPr>
              <w:t>; zaleca się wyposażenie klap wewnętrznych usytuowanych w górnej części nadwozia w uchwyty (paski) ułatwiające zamykanie w przypadku maksymalnego otwarcia;</w:t>
            </w:r>
          </w:p>
          <w:p w14:paraId="3713E436" w14:textId="569CE524" w:rsidR="00877A35" w:rsidRPr="005B0B70" w:rsidRDefault="00877A35" w:rsidP="00AD6804">
            <w:pPr>
              <w:numPr>
                <w:ilvl w:val="0"/>
                <w:numId w:val="10"/>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otwierane na bok – kąt otwarcia co najmniej 90°</w:t>
            </w:r>
            <w:r w:rsidR="00D22453" w:rsidRPr="005B0B70">
              <w:rPr>
                <w:rFonts w:ascii="Cambria" w:eastAsia="Times New Roman" w:hAnsi="Cambria" w:cs="Times New Roman"/>
                <w:szCs w:val="20"/>
                <w:lang w:eastAsia="pl-PL"/>
              </w:rPr>
              <w:t>;</w:t>
            </w:r>
          </w:p>
          <w:p w14:paraId="77DE7378" w14:textId="5C0F7935" w:rsidR="00877A35" w:rsidRPr="005B0B70" w:rsidRDefault="00877A3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wszystkie zamykane (otwierane) jednym kluczem, np. typu „kwadrat”</w:t>
            </w:r>
            <w:r w:rsidR="00D22453" w:rsidRPr="005B0B70">
              <w:rPr>
                <w:rFonts w:ascii="Cambria" w:eastAsia="Times New Roman" w:hAnsi="Cambria" w:cs="Times New Roman"/>
                <w:szCs w:val="20"/>
                <w:lang w:eastAsia="pl-PL"/>
              </w:rPr>
              <w:t>;</w:t>
            </w:r>
          </w:p>
          <w:p w14:paraId="1126C2C3" w14:textId="4D31C6E7" w:rsidR="00E857F8" w:rsidRPr="005B0B70" w:rsidRDefault="00E857F8"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przynajmniej jedna klapa tzw. komory silnikowej (zalecana klapa tylna) z możliwością zamknięcia bez konieczności ryglowania do jazdy – możliwość otwarcia w sytuacjach awaryjnych.</w:t>
            </w:r>
          </w:p>
        </w:tc>
      </w:tr>
      <w:tr w:rsidR="005B0B70" w:rsidRPr="005B0B70" w14:paraId="51A73A28" w14:textId="77777777" w:rsidTr="008B1FA0">
        <w:trPr>
          <w:cantSplit/>
        </w:trPr>
        <w:tc>
          <w:tcPr>
            <w:tcW w:w="379" w:type="dxa"/>
          </w:tcPr>
          <w:p w14:paraId="067112AD"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AE63796" w14:textId="5BBF769B"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A</w:t>
            </w:r>
            <w:r w:rsidR="00877A35" w:rsidRPr="005B0B70">
              <w:rPr>
                <w:rFonts w:ascii="Cambria" w:eastAsia="Times New Roman" w:hAnsi="Cambria" w:cs="Times New Roman"/>
                <w:szCs w:val="20"/>
                <w:lang w:eastAsia="pl-PL"/>
              </w:rPr>
              <w:t>utomatyczny system centralnego smarowania</w:t>
            </w:r>
          </w:p>
        </w:tc>
        <w:tc>
          <w:tcPr>
            <w:tcW w:w="7882" w:type="dxa"/>
          </w:tcPr>
          <w:p w14:paraId="2CEF4CEF" w14:textId="77777777" w:rsidR="00877A35" w:rsidRPr="005B0B70" w:rsidRDefault="00877A35" w:rsidP="00C232FB">
            <w:pPr>
              <w:numPr>
                <w:ilvl w:val="0"/>
                <w:numId w:val="16"/>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 się dostosowanie do smaru klasy NLGI 2</w:t>
            </w:r>
          </w:p>
          <w:p w14:paraId="736745B0" w14:textId="77777777" w:rsidR="00877A35" w:rsidRPr="005B0B70" w:rsidRDefault="00877A35" w:rsidP="00C232FB">
            <w:pPr>
              <w:numPr>
                <w:ilvl w:val="0"/>
                <w:numId w:val="16"/>
              </w:numPr>
              <w:spacing w:after="0" w:line="240" w:lineRule="auto"/>
              <w:contextualSpacing/>
              <w:rPr>
                <w:rFonts w:ascii="Cambria" w:eastAsia="Times New Roman" w:hAnsi="Cambria" w:cs="Times New Roman"/>
                <w:szCs w:val="20"/>
                <w:lang w:eastAsia="pl-PL"/>
              </w:rPr>
            </w:pPr>
            <w:r w:rsidRPr="005B0B70">
              <w:rPr>
                <w:rFonts w:ascii="Cambria" w:eastAsia="Times New Roman" w:hAnsi="Cambria" w:cs="Times New Roman"/>
                <w:szCs w:val="20"/>
                <w:lang w:eastAsia="pl-PL"/>
              </w:rPr>
              <w:t>obejmujący wszystkie punkty smarowania podwozia, bez wału napędowego,</w:t>
            </w:r>
          </w:p>
          <w:p w14:paraId="5BE95B1C" w14:textId="77777777" w:rsidR="00877A35" w:rsidRPr="005B0B70" w:rsidRDefault="00877A35" w:rsidP="00C232FB">
            <w:pPr>
              <w:numPr>
                <w:ilvl w:val="0"/>
                <w:numId w:val="16"/>
              </w:numPr>
              <w:spacing w:after="0" w:line="240" w:lineRule="auto"/>
              <w:contextualSpacing/>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system autodiagnozy;</w:t>
            </w:r>
          </w:p>
          <w:p w14:paraId="225929D9" w14:textId="77777777" w:rsidR="00877A35" w:rsidRPr="005B0B70" w:rsidRDefault="00877A35" w:rsidP="00C232FB">
            <w:pPr>
              <w:numPr>
                <w:ilvl w:val="0"/>
                <w:numId w:val="16"/>
              </w:numPr>
              <w:spacing w:after="0" w:line="240" w:lineRule="auto"/>
              <w:contextualSpacing/>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zalecane wykonanie bezobsługowe podwozia – bez punktów smarnych</w:t>
            </w:r>
          </w:p>
        </w:tc>
      </w:tr>
      <w:tr w:rsidR="005B0B70" w:rsidRPr="005B0B70" w14:paraId="4FC40548" w14:textId="77777777" w:rsidTr="008B1FA0">
        <w:tc>
          <w:tcPr>
            <w:tcW w:w="379" w:type="dxa"/>
          </w:tcPr>
          <w:p w14:paraId="176EDF95"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38422CF" w14:textId="3EC596EB"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D</w:t>
            </w:r>
            <w:r w:rsidR="00877A35" w:rsidRPr="005B0B70">
              <w:rPr>
                <w:rFonts w:ascii="Cambria" w:eastAsia="Times New Roman" w:hAnsi="Cambria" w:cs="Times New Roman"/>
                <w:szCs w:val="20"/>
                <w:lang w:eastAsia="pl-PL"/>
              </w:rPr>
              <w:t>rzwi pasażerskie</w:t>
            </w:r>
          </w:p>
        </w:tc>
        <w:tc>
          <w:tcPr>
            <w:tcW w:w="7882" w:type="dxa"/>
          </w:tcPr>
          <w:p w14:paraId="4F382435" w14:textId="5B333ADA" w:rsidR="00877A35" w:rsidRPr="005B0B70" w:rsidRDefault="00877A35" w:rsidP="00AD6804">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drzwi wraz z układem poręczy montowanych na skrzydłach drzwi lub innych elementach nadwozia (przy drzwiach otwieranych na zewnątrz), ułatwiających pasażerom wchodzenie i wychodzenie, spełniające wymagania Załącznika nr 3 do Regulaminu nr 107 EKG ONZ. Przy drzwiach otwieranych na zewnątrz, zastosowanie na ściance działowej</w:t>
            </w:r>
            <w:r w:rsidR="00D22453" w:rsidRPr="005B0B70">
              <w:rPr>
                <w:rFonts w:ascii="Cambria" w:eastAsia="Times New Roman" w:hAnsi="Cambria" w:cs="Times New Roman"/>
                <w:szCs w:val="20"/>
                <w:lang w:eastAsia="pl-PL"/>
              </w:rPr>
              <w:t xml:space="preserve"> (za wejściem 2 drzwiami)</w:t>
            </w:r>
            <w:r w:rsidRPr="005B0B70">
              <w:rPr>
                <w:rFonts w:ascii="Cambria" w:eastAsia="Times New Roman" w:hAnsi="Cambria" w:cs="Times New Roman"/>
                <w:szCs w:val="20"/>
                <w:lang w:eastAsia="pl-PL"/>
              </w:rPr>
              <w:t xml:space="preserve"> po stronie przeciwnej do wyznaczonego miejsca na wózek inwalidzki, dwóch poręczy ukośnych, przy czym wyższa powinna być zamontowana na wysokości 1100</w:t>
            </w:r>
            <w:r w:rsidR="00D22453" w:rsidRPr="005B0B70">
              <w:rPr>
                <w:rFonts w:ascii="Cambria" w:eastAsia="Times New Roman" w:hAnsi="Cambria" w:cs="Times New Roman"/>
                <w:szCs w:val="20"/>
                <w:lang w:eastAsia="pl-PL"/>
              </w:rPr>
              <w:t xml:space="preserve"> ± 50</w:t>
            </w:r>
            <w:r w:rsidRPr="005B0B70">
              <w:rPr>
                <w:rFonts w:ascii="Cambria" w:eastAsia="Times New Roman" w:hAnsi="Cambria" w:cs="Times New Roman"/>
                <w:szCs w:val="20"/>
                <w:lang w:eastAsia="pl-PL"/>
              </w:rPr>
              <w:t xml:space="preserve"> mm, patrząc od strony zewnętrznej nadwozia</w:t>
            </w:r>
            <w:r w:rsidR="001338B9" w:rsidRPr="005B0B70">
              <w:rPr>
                <w:rFonts w:ascii="Cambria" w:eastAsia="Times New Roman" w:hAnsi="Cambria" w:cs="Times New Roman"/>
                <w:szCs w:val="20"/>
                <w:lang w:eastAsia="pl-PL"/>
              </w:rPr>
              <w:t>, dolna na wysokości 700 ± 50 mm</w:t>
            </w:r>
            <w:r w:rsidRPr="005B0B70">
              <w:rPr>
                <w:rFonts w:ascii="Cambria" w:eastAsia="Times New Roman" w:hAnsi="Cambria" w:cs="Times New Roman"/>
                <w:szCs w:val="20"/>
                <w:lang w:eastAsia="pl-PL"/>
              </w:rPr>
              <w:t>; po stronie miejsca wyznaczonego na wózek zastosowanie poręczy pionowej umieszczonej na wysokości od 800 mm do 1600 mm</w:t>
            </w:r>
            <w:r w:rsidR="001338B9" w:rsidRPr="005B0B70">
              <w:rPr>
                <w:rFonts w:ascii="Cambria" w:eastAsia="Times New Roman" w:hAnsi="Cambria" w:cs="Times New Roman"/>
                <w:szCs w:val="20"/>
                <w:lang w:eastAsia="pl-PL"/>
              </w:rPr>
              <w:t>, przy czym punkty mocujące poręcz mogą wykraczać poza ten przedział. Wszystkie wysokości mierzone od podłogi autobusu</w:t>
            </w:r>
            <w:r w:rsidR="00E92AB1" w:rsidRPr="005B0B70">
              <w:rPr>
                <w:rFonts w:ascii="Cambria" w:eastAsia="Times New Roman" w:hAnsi="Cambria" w:cs="Times New Roman"/>
                <w:szCs w:val="20"/>
                <w:lang w:eastAsia="pl-PL"/>
              </w:rPr>
              <w:t>;</w:t>
            </w:r>
            <w:r w:rsidR="001338B9" w:rsidRPr="005B0B70">
              <w:rPr>
                <w:rFonts w:ascii="Cambria" w:eastAsia="Times New Roman" w:hAnsi="Cambria" w:cs="Times New Roman"/>
                <w:szCs w:val="20"/>
                <w:lang w:eastAsia="pl-PL"/>
              </w:rPr>
              <w:t xml:space="preserve"> </w:t>
            </w:r>
          </w:p>
          <w:p w14:paraId="37D1EA42" w14:textId="77777777" w:rsidR="00877A35" w:rsidRPr="005B0B70" w:rsidRDefault="00877A35" w:rsidP="00AD6804">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otwierane do wewnątrz lub na zewnątrz; drzwi prowadzące do miejsca wyznaczonego na wózek inwalidzki lub wózek dziecięcy muszą być otwierane na zewnątrz </w:t>
            </w:r>
            <w:r w:rsidRPr="005B0B70">
              <w:rPr>
                <w:rFonts w:ascii="Cambria" w:eastAsia="Times New Roman" w:hAnsi="Cambria" w:cs="Times New Roman"/>
                <w:lang w:eastAsia="pl-PL"/>
              </w:rPr>
              <w:t>bez ścianki działowej przy drzwiach po stronie tego wyznaczonego miejsca</w:t>
            </w:r>
            <w:r w:rsidRPr="005B0B70">
              <w:rPr>
                <w:rFonts w:ascii="Cambria" w:eastAsia="Times New Roman" w:hAnsi="Cambria" w:cs="Times New Roman"/>
                <w:szCs w:val="20"/>
                <w:lang w:eastAsia="pl-PL"/>
              </w:rPr>
              <w:t>;</w:t>
            </w:r>
            <w:r w:rsidRPr="005B0B70">
              <w:rPr>
                <w:rFonts w:ascii="Cambria" w:eastAsia="Times New Roman" w:hAnsi="Cambria" w:cs="Times New Roman"/>
                <w:lang w:eastAsia="pl-PL"/>
              </w:rPr>
              <w:t xml:space="preserve"> </w:t>
            </w:r>
          </w:p>
          <w:p w14:paraId="0B14BA20" w14:textId="3169DCF2" w:rsidR="00877A35" w:rsidRPr="005B0B70" w:rsidRDefault="00877A35" w:rsidP="00AD6804">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co najmniej przednie skrzydło I drzwi wyposażone w zamek zamykany i otwierany indywidualnym kluczem z zewnątrz autobusu, pozostałe skrzydła drzwi ryglowane od wewnątrz jednym kluczem typu „kwadrat”</w:t>
            </w:r>
            <w:r w:rsidR="00D22453" w:rsidRPr="005B0B70">
              <w:rPr>
                <w:rFonts w:ascii="Cambria" w:eastAsia="Times New Roman" w:hAnsi="Cambria" w:cs="Times New Roman"/>
                <w:szCs w:val="20"/>
                <w:lang w:eastAsia="pl-PL"/>
              </w:rPr>
              <w:t>;</w:t>
            </w:r>
          </w:p>
          <w:p w14:paraId="3535106D" w14:textId="454E0D93" w:rsidR="00877A35" w:rsidRPr="005B0B70" w:rsidRDefault="00877A35" w:rsidP="00AD6804">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przednie drzwi wyposażone w szybę podwójną zespoloną (rozwiązanie zalecane) lub pojedynczą ogrzewaną, zabezpieczającą przed zaparowaniem</w:t>
            </w:r>
            <w:r w:rsidR="00D22453" w:rsidRPr="005B0B70">
              <w:rPr>
                <w:rFonts w:ascii="Cambria" w:eastAsia="Times New Roman" w:hAnsi="Cambria" w:cs="Times New Roman"/>
                <w:szCs w:val="20"/>
                <w:lang w:eastAsia="pl-PL"/>
              </w:rPr>
              <w:t>;</w:t>
            </w:r>
          </w:p>
        </w:tc>
      </w:tr>
      <w:tr w:rsidR="005B0B70" w:rsidRPr="005B0B70" w14:paraId="25731195" w14:textId="77777777" w:rsidTr="008B1FA0">
        <w:tc>
          <w:tcPr>
            <w:tcW w:w="379" w:type="dxa"/>
          </w:tcPr>
          <w:p w14:paraId="2E0B7346"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08520F49" w14:textId="2FF7C78B"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terowanie drzwiami pasażerskimi</w:t>
            </w:r>
          </w:p>
        </w:tc>
        <w:tc>
          <w:tcPr>
            <w:tcW w:w="7882" w:type="dxa"/>
          </w:tcPr>
          <w:p w14:paraId="4F21289A" w14:textId="77777777" w:rsidR="00877A35" w:rsidRPr="005B0B70" w:rsidRDefault="00877A35" w:rsidP="00A45EB8">
            <w:p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Układ sterowania:</w:t>
            </w:r>
          </w:p>
          <w:p w14:paraId="461F87EB" w14:textId="4510EAE9"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spełniający wymagania Załącznika nr 3 do Regulaminu nr 107 EKG ONZ</w:t>
            </w:r>
            <w:r w:rsidR="00132738" w:rsidRPr="005B0B70">
              <w:rPr>
                <w:rFonts w:ascii="Cambria" w:eastAsia="Times New Roman" w:hAnsi="Cambria" w:cs="Times New Roman"/>
                <w:szCs w:val="20"/>
                <w:lang w:eastAsia="pl-PL"/>
              </w:rPr>
              <w:t>;</w:t>
            </w:r>
          </w:p>
          <w:p w14:paraId="42AE1265" w14:textId="3510C8BB"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elektropneumatyczny lub elektryczny z sygnalizacją stanu otwarcia (zamknięcia) drzwi na desce rozdzielczej – podświetlenie przycisków lub ikony na wyświetlaczu</w:t>
            </w:r>
            <w:r w:rsidR="00132738" w:rsidRPr="005B0B70">
              <w:rPr>
                <w:rFonts w:ascii="Cambria" w:eastAsia="Times New Roman" w:hAnsi="Cambria" w:cs="Times New Roman"/>
                <w:szCs w:val="20"/>
                <w:lang w:eastAsia="pl-PL"/>
              </w:rPr>
              <w:t>;</w:t>
            </w:r>
          </w:p>
          <w:p w14:paraId="2B04863B" w14:textId="550F2658"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umożliwiający zamykanie i otwieranie drzwi przez kierowcę indywidualne, przyciskami na tablicy rozdzielczej; sterowanie przednim skrzydłem I drzwi osobne i niezależne z funkcją zamykania i otwierania dodatkowym ukrytym przyciskiem zewnętrznym, dopuszcza się zastosowanie rozwiązania polegającego na blokowaniu przez kierowcę odpowiedniej połówki I drzwi</w:t>
            </w:r>
            <w:r w:rsidR="00954766" w:rsidRPr="005B0B70">
              <w:rPr>
                <w:rFonts w:ascii="Cambria" w:eastAsia="Times New Roman" w:hAnsi="Cambria" w:cs="Times New Roman"/>
                <w:szCs w:val="20"/>
                <w:lang w:eastAsia="pl-PL"/>
              </w:rPr>
              <w:t>;</w:t>
            </w:r>
          </w:p>
          <w:p w14:paraId="679E6198" w14:textId="2290D5E2"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dodatkowy przycisk na desce rozdzielczej umożliwiający otwarcie oraz zamknięcie wszystkich drzwi jednocześnie – użycie przycisku powoduje otwarcie wszystkich drzwi lub zamknięcie drzwi otwartych w danym momencie</w:t>
            </w:r>
            <w:r w:rsidR="00954766" w:rsidRPr="005B0B70">
              <w:rPr>
                <w:rFonts w:ascii="Cambria" w:eastAsia="Times New Roman" w:hAnsi="Cambria" w:cs="Times New Roman"/>
                <w:szCs w:val="20"/>
                <w:lang w:eastAsia="pl-PL"/>
              </w:rPr>
              <w:t>;</w:t>
            </w:r>
          </w:p>
          <w:p w14:paraId="4212EE18" w14:textId="2969FECB"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powodujący załączenie hamulca przystankowego po otwarciu jakichkolwiek drzwi lub aktywacji przez kierowcę układu otwierania drzwi przez pasażerów, uniemożliwiające ruszenie z </w:t>
            </w:r>
            <w:r w:rsidR="00A44004" w:rsidRPr="005B0B70">
              <w:rPr>
                <w:rFonts w:ascii="Cambria" w:eastAsia="Times New Roman" w:hAnsi="Cambria" w:cs="Times New Roman"/>
                <w:szCs w:val="20"/>
                <w:lang w:eastAsia="pl-PL"/>
              </w:rPr>
              <w:t>przystanku,</w:t>
            </w:r>
            <w:r w:rsidRPr="005B0B70">
              <w:rPr>
                <w:rFonts w:ascii="Cambria" w:eastAsia="Times New Roman" w:hAnsi="Cambria" w:cs="Times New Roman"/>
                <w:szCs w:val="20"/>
                <w:lang w:eastAsia="pl-PL"/>
              </w:rPr>
              <w:t xml:space="preserve"> gdy drzwi nie są całkowicie zamknięte</w:t>
            </w:r>
            <w:r w:rsidR="00954766" w:rsidRPr="005B0B70">
              <w:rPr>
                <w:rFonts w:ascii="Cambria" w:eastAsia="Times New Roman" w:hAnsi="Cambria" w:cs="Times New Roman"/>
                <w:szCs w:val="20"/>
                <w:lang w:eastAsia="pl-PL"/>
              </w:rPr>
              <w:t>;</w:t>
            </w:r>
          </w:p>
          <w:p w14:paraId="6B44DB71" w14:textId="6260745B"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urządzenie sterujące awaryjnego otwierania drzwi (AOD) umieszczone przy każdych drzwiach, zabezpieczone przed przypadkowym użyciem zabezpieczeniem łatwym do usunięcia lub zniszczenia w celu uzyskania dostępu</w:t>
            </w:r>
            <w:r w:rsidR="00954766" w:rsidRPr="005B0B70">
              <w:rPr>
                <w:rFonts w:ascii="Cambria" w:eastAsia="Times New Roman" w:hAnsi="Cambria" w:cs="Times New Roman"/>
                <w:szCs w:val="20"/>
                <w:lang w:eastAsia="pl-PL"/>
              </w:rPr>
              <w:t>;</w:t>
            </w:r>
          </w:p>
          <w:p w14:paraId="4BA37E41" w14:textId="5179BF62"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posiadający wykonaną blokadę awaryjnego otwarcia drzwi przy prędkości większej niż 3 ÷ 5 km/h;</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szCs w:val="20"/>
                <w:lang w:eastAsia="pl-PL"/>
              </w:rPr>
              <w:t>poniżej prędkości 5 km/h AOD dające się uruchomić (możliwość otwarcia drzwi) do momentu przekroczenia prędkości 5 km/h – po przekroczeniu tej prędkości powoduje automatyczne zamknięcie drzwi lub zatrzymanie pojazdu;</w:t>
            </w:r>
            <w:r w:rsidR="00E857F8" w:rsidRPr="005B0B70">
              <w:rPr>
                <w:rFonts w:ascii="Cambria" w:eastAsia="Times New Roman" w:hAnsi="Cambria" w:cs="Times New Roman"/>
                <w:szCs w:val="20"/>
                <w:lang w:eastAsia="pl-PL"/>
              </w:rPr>
              <w:t xml:space="preserve"> spełniająca wymagania Regulaminu nr 107 EKG ONZ;</w:t>
            </w:r>
          </w:p>
          <w:p w14:paraId="5A2F555C" w14:textId="6455A98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wyposażony w akustyczny sygnał ostrzegawczy (lub urządzenie „głośnomówiące”) oraz optyczny sygnał ostrzegawczy (lampa emitująca światło czerwone migające</w:t>
            </w:r>
            <w:r w:rsidR="00954766"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 xml:space="preserve"> widoczna od wewnątrz i z zewnątrz pojazdu przy otwartych drzwiach</w:t>
            </w:r>
            <w:r w:rsidR="00BA18E8"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 xml:space="preserve"> umieszczone przy wszystkich drzwiach, sygnalizujące w sposób automatyczny zamiar zamykania drzwi na 1 ÷ 3 sekund przed każdym zamknięciem drzwi</w:t>
            </w:r>
            <w:r w:rsidR="00954766" w:rsidRPr="005B0B70">
              <w:rPr>
                <w:rFonts w:ascii="Cambria" w:eastAsia="Times New Roman" w:hAnsi="Cambria" w:cs="Times New Roman"/>
                <w:szCs w:val="20"/>
                <w:lang w:eastAsia="pl-PL"/>
              </w:rPr>
              <w:t>;</w:t>
            </w:r>
          </w:p>
          <w:p w14:paraId="64EA8AC7" w14:textId="417E5B6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układ otwierania drzwi przez pasażerów aktywowany i</w:t>
            </w:r>
            <w:r w:rsidR="00AD6804"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dezaktywowany przez prowadzącego pojazd (UZO);</w:t>
            </w:r>
          </w:p>
          <w:p w14:paraId="14DAE4C3"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wyposażony w funkcję automatycznego zamykania drzwi (AUTO) po ich otwarciu przez pasażerów wraz z systemem detekcji obecności pasażerów w kontrolowanej strefie drzwi, aktywowaną przez prowadzącego pojazd – funkcja nie może być aktywna przy korzystaniu z podstawowego układu otwierania i zamykania drzwi przez prowadzącego pojazd; </w:t>
            </w:r>
          </w:p>
          <w:p w14:paraId="2C86D8F8" w14:textId="104AD1C6"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domyślnym ustawieniem czasu na 5 sekund, w czasie których w przypadku niewyrycia w strefie drzwi wsiadającego lub wysiadającego pasażera, następuje automatyczne zamknięcie drzwi a w wykrycie obecności pasażera w kontrolowanej strefie powoduje przerwanie zamykania się drzwi oraz pełne ich otwarcie, a następnie ponowienie procedury automatycznego zamykania po upływie zdefiniowanego czasu</w:t>
            </w:r>
            <w:r w:rsidR="00954766" w:rsidRPr="005B0B70">
              <w:rPr>
                <w:rFonts w:ascii="Cambria" w:eastAsia="Times New Roman" w:hAnsi="Cambria" w:cs="Times New Roman"/>
                <w:szCs w:val="20"/>
                <w:lang w:eastAsia="pl-PL"/>
              </w:rPr>
              <w:t>;</w:t>
            </w:r>
          </w:p>
          <w:p w14:paraId="4C3E6A8D" w14:textId="3A77DA03"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możliwością w trybie serwisowym zmiany czasu (wielkości opóźnienia), po którym następuje automatyczne zamknięcie drzwi</w:t>
            </w:r>
            <w:r w:rsidR="00954766" w:rsidRPr="005B0B70">
              <w:rPr>
                <w:rFonts w:ascii="Cambria" w:eastAsia="Times New Roman" w:hAnsi="Cambria" w:cs="Times New Roman"/>
                <w:szCs w:val="20"/>
                <w:lang w:eastAsia="pl-PL"/>
              </w:rPr>
              <w:t>;</w:t>
            </w:r>
          </w:p>
          <w:p w14:paraId="118A6F81" w14:textId="7330D86E"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stanu otwarcia/zamknięcia/awarii drzwi na desce rozdzielczej prowadzącego pojazd</w:t>
            </w:r>
            <w:r w:rsidR="00954766" w:rsidRPr="005B0B70">
              <w:rPr>
                <w:rFonts w:ascii="Cambria" w:eastAsia="Times New Roman" w:hAnsi="Cambria" w:cs="Times New Roman"/>
                <w:szCs w:val="20"/>
                <w:lang w:eastAsia="pl-PL"/>
              </w:rPr>
              <w:t>;</w:t>
            </w:r>
          </w:p>
          <w:p w14:paraId="06E457E5"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wyposażony w przyciski otwierania drzwi przez pasażerów umieszczone na zewnątrz i wewnątrz pojazdu; </w:t>
            </w:r>
          </w:p>
          <w:p w14:paraId="010CB03B"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powiadamiania o zamiarze zatrzymania umieszczone wewnątrz pojazdu;</w:t>
            </w:r>
          </w:p>
          <w:p w14:paraId="5ED17836"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przyciski specjalne powiązane z dostępnością pojazdu;</w:t>
            </w:r>
          </w:p>
          <w:p w14:paraId="24FD92FA"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Sygnały wyzwalane przez przyciski:</w:t>
            </w:r>
          </w:p>
          <w:p w14:paraId="2EFC3A37"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S</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(Sx, gdzie x oznacza numer kolejnych drzwi) – sygnał potrzeby zatrzymania pojazdu;</w:t>
            </w:r>
          </w:p>
          <w:p w14:paraId="1D522F11"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D</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(Dx, gdzie x oznacza numer kolejnych drzwi) – sygnał potrzeby otwarcia danych drzwi;</w:t>
            </w:r>
          </w:p>
          <w:p w14:paraId="74E465E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WI – sygnał potrzeby użycia rampy dla wózka inwalidzkiego;</w:t>
            </w:r>
          </w:p>
          <w:p w14:paraId="7926611A"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WD – sygnał-ostrzeżenie dla wysiadania osoby z wózkiem dziecięcym;</w:t>
            </w:r>
          </w:p>
          <w:p w14:paraId="50680AF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IP – sygnał-ostrzeżenie dla wysiadania osoby z trudnościami w poruszaniu się;</w:t>
            </w:r>
          </w:p>
          <w:p w14:paraId="4279B4EB"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IB – sygnał-ostrzeżenie dla wysiadania osoby niewidomej lub niedowidzącej; </w:t>
            </w:r>
          </w:p>
          <w:p w14:paraId="521E79A1"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IBZ – sygnał-ostrzeżenie od oczekującej osoby niewidomej lub niedowidzącej;</w:t>
            </w:r>
          </w:p>
          <w:p w14:paraId="762D02A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sygnały IB oraz IBZ są sygnałami z tzw. przycisków wirtualnych, tj. nie są nadawane przez fizyczne przyciski w pojeździe.</w:t>
            </w:r>
          </w:p>
          <w:p w14:paraId="37CBD9D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obsługi SSD na desce prowadzącego pojazd:</w:t>
            </w:r>
          </w:p>
          <w:p w14:paraId="2270319F" w14:textId="6D5B7DF0"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KOZK – przycisk otwierania/zamykania przedniego skrzydła pierwszych drzwi (wejścia do kabiny prowadzącego pojazd), działający niezależnie od całego SSD, tj. powodujący wyłącznie otwarcie lub zamknięcie przedniego skrzydła pierwszych drzwi i na </w:t>
            </w:r>
            <w:r w:rsidR="00BA18E8" w:rsidRPr="005B0B70">
              <w:rPr>
                <w:rFonts w:ascii="Cambria" w:eastAsia="Times New Roman" w:hAnsi="Cambria" w:cs="Times New Roman"/>
                <w:szCs w:val="20"/>
                <w:lang w:eastAsia="pl-PL"/>
              </w:rPr>
              <w:t>działanie,</w:t>
            </w:r>
            <w:r w:rsidRPr="005B0B70">
              <w:rPr>
                <w:rFonts w:ascii="Cambria" w:eastAsia="Times New Roman" w:hAnsi="Cambria" w:cs="Times New Roman"/>
                <w:szCs w:val="20"/>
                <w:lang w:eastAsia="pl-PL"/>
              </w:rPr>
              <w:t xml:space="preserve"> którego nie wpływają inne przyciski i/lub stany SSD, w tym automatyka (AUTO) zamykania drzwi;</w:t>
            </w:r>
          </w:p>
          <w:p w14:paraId="452C5C8E"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KOZ1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KOZ</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(KOZx, gdzie x oznacza numer kolejnych drzwi) – osobne przyciski otwierania/zamykania poszczególnych drzwi dla pasażerów;</w:t>
            </w:r>
          </w:p>
          <w:p w14:paraId="51E78B7A"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KOZZ – osobny przycisk otwierania/zamykania wszystkich drzwi dla pasażerów, tzw. przycisk zbiorczy;</w:t>
            </w:r>
          </w:p>
          <w:p w14:paraId="3ADEA3A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KUZO – przycisk aktywacji/dezaktywacji układu otwierania drzwi (UZO) przez pasażerów, tzw. zezwolenie na otwieranie drzwi; </w:t>
            </w:r>
          </w:p>
          <w:p w14:paraId="0A384F4D"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KAUT – przycisk aktywacji/dezaktywacji automatyki zamykania drzwi (AUTO);</w:t>
            </w:r>
          </w:p>
          <w:p w14:paraId="2D470175"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na desce rozmieszczone i zgrupowane w sposób ergonomiczny, tj. przyciski KOZ1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KOZ</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i KOZZ zgrupowane obok siebie; przyciski KUZO i KAUT obok siebie; przycisk KOZK usytuowany niezależnie.</w:t>
            </w:r>
          </w:p>
          <w:p w14:paraId="180FC01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obsługi otwierania drzwi na zewnątrz pojazdu:</w:t>
            </w:r>
          </w:p>
          <w:p w14:paraId="2F492359"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ZO1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ZO</w:t>
            </w:r>
            <w:r w:rsidR="00A74EF0"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(ZOx, gdzie x oznacza numer kolejnych drzwi) – przyciski przyporządkowane funkcyjnie, tj. służące do otwierania tylko tych drzwi przy (lub na) których są umieszczone; </w:t>
            </w:r>
          </w:p>
          <w:p w14:paraId="23DDE3E0" w14:textId="7D9E2574"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funkcjonujące po uaktywnieniu przez prowadzącego pojazd układu otwierania drzwi przez pasażerów (UZO)</w:t>
            </w:r>
            <w:r w:rsidR="00954766" w:rsidRPr="005B0B70">
              <w:rPr>
                <w:rFonts w:ascii="Cambria" w:eastAsia="Times New Roman" w:hAnsi="Cambria" w:cs="Times New Roman"/>
                <w:szCs w:val="20"/>
                <w:lang w:eastAsia="pl-PL"/>
              </w:rPr>
              <w:t>;</w:t>
            </w:r>
          </w:p>
          <w:p w14:paraId="127BDA5A" w14:textId="4B398618"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do środka umieszczone przy drzwiach</w:t>
            </w:r>
            <w:r w:rsidR="00954766" w:rsidRPr="005B0B70">
              <w:rPr>
                <w:rFonts w:ascii="Cambria" w:eastAsia="Times New Roman" w:hAnsi="Cambria" w:cs="Times New Roman"/>
                <w:szCs w:val="20"/>
                <w:lang w:eastAsia="pl-PL"/>
              </w:rPr>
              <w:t>:</w:t>
            </w:r>
          </w:p>
          <w:p w14:paraId="3474573C" w14:textId="1A5BA77F"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przy I drzwiach tylko po lewej stronie</w:t>
            </w:r>
            <w:r w:rsidR="00A45EB8" w:rsidRPr="005B0B70">
              <w:rPr>
                <w:rFonts w:ascii="Cambria" w:eastAsia="Times New Roman" w:hAnsi="Cambria" w:cs="Times New Roman"/>
                <w:szCs w:val="20"/>
                <w:lang w:eastAsia="pl-PL"/>
              </w:rPr>
              <w:t>;</w:t>
            </w:r>
          </w:p>
          <w:p w14:paraId="6E435689" w14:textId="7946C2E1"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przy II</w:t>
            </w:r>
            <w:r w:rsidR="00A74EF0" w:rsidRPr="005B0B70">
              <w:rPr>
                <w:rFonts w:ascii="Cambria" w:eastAsia="Times New Roman" w:hAnsi="Cambria" w:cs="Times New Roman"/>
                <w:szCs w:val="20"/>
                <w:lang w:eastAsia="pl-PL"/>
              </w:rPr>
              <w:t>I</w:t>
            </w:r>
            <w:r w:rsidRPr="005B0B70">
              <w:rPr>
                <w:rFonts w:ascii="Cambria" w:eastAsia="Times New Roman" w:hAnsi="Cambria" w:cs="Times New Roman"/>
                <w:szCs w:val="20"/>
                <w:lang w:eastAsia="pl-PL"/>
              </w:rPr>
              <w:t xml:space="preserve"> i I</w:t>
            </w:r>
            <w:r w:rsidR="00A74EF0" w:rsidRPr="005B0B70">
              <w:rPr>
                <w:rFonts w:ascii="Cambria" w:eastAsia="Times New Roman" w:hAnsi="Cambria" w:cs="Times New Roman"/>
                <w:szCs w:val="20"/>
                <w:lang w:eastAsia="pl-PL"/>
              </w:rPr>
              <w:t>V</w:t>
            </w:r>
            <w:r w:rsidRPr="005B0B70">
              <w:rPr>
                <w:rFonts w:ascii="Cambria" w:eastAsia="Times New Roman" w:hAnsi="Cambria" w:cs="Times New Roman"/>
                <w:szCs w:val="20"/>
                <w:lang w:eastAsia="pl-PL"/>
              </w:rPr>
              <w:t xml:space="preserve"> drzwiach po obu stronach drzwi</w:t>
            </w:r>
            <w:r w:rsidR="00A45EB8" w:rsidRPr="005B0B70">
              <w:rPr>
                <w:rFonts w:ascii="Cambria" w:eastAsia="Times New Roman" w:hAnsi="Cambria" w:cs="Times New Roman"/>
                <w:szCs w:val="20"/>
                <w:lang w:eastAsia="pl-PL"/>
              </w:rPr>
              <w:t>;</w:t>
            </w:r>
          </w:p>
          <w:p w14:paraId="15A233BF" w14:textId="624E090F" w:rsidR="00E857F8" w:rsidRPr="005B0B70" w:rsidRDefault="00E857F8"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 IV drzwiach dopuszcza się tylko jeden przycisk, po prawej stronie drzwi, wyłącznie w sytuacji, gdy z przyczyn technicznych nie jest możliwe umieszczenie przycisków po obu stronach drzwi</w:t>
            </w:r>
            <w:r w:rsidR="00954766" w:rsidRPr="005B0B70">
              <w:rPr>
                <w:rFonts w:ascii="Cambria" w:eastAsia="Times New Roman" w:hAnsi="Cambria" w:cs="Times New Roman"/>
                <w:szCs w:val="20"/>
                <w:lang w:eastAsia="pl-PL"/>
              </w:rPr>
              <w:t>;</w:t>
            </w:r>
          </w:p>
          <w:p w14:paraId="285BB963"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na zewnątrz umieszczone bezpośrednio na skrzydłach drzwi:</w:t>
            </w:r>
          </w:p>
          <w:p w14:paraId="61E3C8EE" w14:textId="3DFB1FD3"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na I drzwiach na lewym skrzydle drzwi</w:t>
            </w:r>
            <w:r w:rsidR="00A45EB8" w:rsidRPr="005B0B70">
              <w:rPr>
                <w:rFonts w:ascii="Cambria" w:eastAsia="Times New Roman" w:hAnsi="Cambria" w:cs="Times New Roman"/>
                <w:szCs w:val="20"/>
                <w:lang w:eastAsia="pl-PL"/>
              </w:rPr>
              <w:t>;</w:t>
            </w:r>
          </w:p>
          <w:p w14:paraId="7AA0349D" w14:textId="436AF65D"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przyciski </w:t>
            </w:r>
            <w:r w:rsidR="007A2A67" w:rsidRPr="005B0B70">
              <w:rPr>
                <w:rFonts w:ascii="Cambria" w:eastAsia="Times New Roman" w:hAnsi="Cambria" w:cs="Times New Roman"/>
                <w:szCs w:val="20"/>
                <w:lang w:eastAsia="pl-PL"/>
              </w:rPr>
              <w:t>na II,</w:t>
            </w:r>
            <w:r w:rsidRPr="005B0B70">
              <w:rPr>
                <w:rFonts w:ascii="Cambria" w:eastAsia="Times New Roman" w:hAnsi="Cambria" w:cs="Times New Roman"/>
                <w:szCs w:val="20"/>
                <w:lang w:eastAsia="pl-PL"/>
              </w:rPr>
              <w:t xml:space="preserve"> III</w:t>
            </w:r>
            <w:r w:rsidR="007A2A67" w:rsidRPr="005B0B70">
              <w:rPr>
                <w:rFonts w:ascii="Cambria" w:eastAsia="Times New Roman" w:hAnsi="Cambria" w:cs="Times New Roman"/>
                <w:szCs w:val="20"/>
                <w:lang w:eastAsia="pl-PL"/>
              </w:rPr>
              <w:t xml:space="preserve"> i IV</w:t>
            </w:r>
            <w:r w:rsidRPr="005B0B70">
              <w:rPr>
                <w:rFonts w:ascii="Cambria" w:eastAsia="Times New Roman" w:hAnsi="Cambria" w:cs="Times New Roman"/>
                <w:szCs w:val="20"/>
                <w:lang w:eastAsia="pl-PL"/>
              </w:rPr>
              <w:t xml:space="preserve"> drzwiach na prawym skrzydle drzwi</w:t>
            </w:r>
            <w:r w:rsidR="00A45EB8" w:rsidRPr="005B0B70">
              <w:rPr>
                <w:rFonts w:ascii="Cambria" w:eastAsia="Times New Roman" w:hAnsi="Cambria" w:cs="Times New Roman"/>
                <w:szCs w:val="20"/>
                <w:lang w:eastAsia="pl-PL"/>
              </w:rPr>
              <w:t>;</w:t>
            </w:r>
          </w:p>
          <w:p w14:paraId="6F0F6949"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do środka przyciski umieszczone bliżej krawędzi drzwi niż urządzenie sterujące awaryjnego otwierania drzwi (AOD),</w:t>
            </w:r>
          </w:p>
          <w:p w14:paraId="3D471845" w14:textId="26016171"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znajdujący się po prawej stronie drzwi wyposażonych w pochylnię (rampę) dla osób poruszających się na wózkach inwalidzkich, umieszczony bliżej krawędzi drzwi niż przycisk sygnalizujący konieczność użycia pochylni (ZWI) lub umieszczony nad tym przyciskiem</w:t>
            </w:r>
            <w:r w:rsidR="00A45EB8" w:rsidRPr="005B0B70">
              <w:rPr>
                <w:rFonts w:ascii="Cambria" w:eastAsia="Times New Roman" w:hAnsi="Cambria" w:cs="Times New Roman"/>
                <w:szCs w:val="20"/>
                <w:lang w:eastAsia="pl-PL"/>
              </w:rPr>
              <w:t>;</w:t>
            </w:r>
          </w:p>
          <w:p w14:paraId="6B7AE78E" w14:textId="3E3DB9B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przycisku czerwony RAL 3020</w:t>
            </w:r>
            <w:r w:rsidR="00A45EB8" w:rsidRPr="005B0B70">
              <w:rPr>
                <w:rFonts w:ascii="Cambria" w:eastAsia="Times New Roman" w:hAnsi="Cambria" w:cs="Times New Roman"/>
                <w:szCs w:val="20"/>
                <w:lang w:eastAsia="pl-PL"/>
              </w:rPr>
              <w:t>;</w:t>
            </w:r>
          </w:p>
          <w:p w14:paraId="65122047" w14:textId="20F6437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przycisku czerwony</w:t>
            </w:r>
            <w:r w:rsidR="00A45EB8" w:rsidRPr="005B0B70">
              <w:rPr>
                <w:rFonts w:ascii="Cambria" w:eastAsia="Times New Roman" w:hAnsi="Cambria" w:cs="Times New Roman"/>
                <w:szCs w:val="20"/>
                <w:lang w:eastAsia="pl-PL"/>
              </w:rPr>
              <w:t>;</w:t>
            </w:r>
          </w:p>
          <w:p w14:paraId="036D4101" w14:textId="17DC361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na przycisku wypukłym piktogramem w formie dwóch przeciwnie skierowanych strzałek „&lt; &gt;”</w:t>
            </w:r>
            <w:r w:rsidR="00A45EB8" w:rsidRPr="005B0B70">
              <w:rPr>
                <w:rFonts w:ascii="Cambria" w:eastAsia="Times New Roman" w:hAnsi="Cambria" w:cs="Times New Roman"/>
                <w:szCs w:val="20"/>
                <w:lang w:eastAsia="pl-PL"/>
              </w:rPr>
              <w:t>;</w:t>
            </w:r>
          </w:p>
          <w:p w14:paraId="1163647C" w14:textId="2D33B020"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typu sensorycznego (dotykowe)</w:t>
            </w:r>
            <w:r w:rsidR="00A45EB8" w:rsidRPr="005B0B70">
              <w:rPr>
                <w:rFonts w:ascii="Cambria" w:eastAsia="Times New Roman" w:hAnsi="Cambria" w:cs="Times New Roman"/>
                <w:szCs w:val="20"/>
                <w:lang w:eastAsia="pl-PL"/>
              </w:rPr>
              <w:t>;</w:t>
            </w:r>
          </w:p>
          <w:p w14:paraId="2D12A777" w14:textId="038DFEC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dla drzwi otwieranych na zewnątrz dopuszczone przyciski mechaniczne – z sygnalizacją mechaniczną naciśnięcia poprzez wyraźnie wyczuwalny skok przycisku</w:t>
            </w:r>
            <w:r w:rsidR="00A45EB8" w:rsidRPr="005B0B70">
              <w:rPr>
                <w:rFonts w:ascii="Cambria" w:eastAsia="Times New Roman" w:hAnsi="Cambria" w:cs="Times New Roman"/>
                <w:szCs w:val="20"/>
                <w:lang w:eastAsia="pl-PL"/>
              </w:rPr>
              <w:t>;</w:t>
            </w:r>
          </w:p>
          <w:p w14:paraId="3FAF3F78" w14:textId="071EAB0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chwilowe podświetlenie przycisku lub pola dokoła przycisku na czerwono</w:t>
            </w:r>
            <w:r w:rsidR="00A45EB8" w:rsidRPr="005B0B70">
              <w:rPr>
                <w:rFonts w:ascii="Cambria" w:eastAsia="Times New Roman" w:hAnsi="Cambria" w:cs="Times New Roman"/>
                <w:szCs w:val="20"/>
                <w:lang w:eastAsia="pl-PL"/>
              </w:rPr>
              <w:t>;</w:t>
            </w:r>
          </w:p>
          <w:p w14:paraId="4122C41F"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6DCAB7D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sygnalizujący konieczność użycia rampy dla wózka inwalidzkiego na zewnątrz pojazdu – ZWI:</w:t>
            </w:r>
          </w:p>
          <w:p w14:paraId="14FAD5F9" w14:textId="5A72559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zgodnie z wymaganiami Załącznika 8 do Regulaminu nr 107 EKG ONZ</w:t>
            </w:r>
            <w:r w:rsidR="001D04C2" w:rsidRPr="005B0B70">
              <w:rPr>
                <w:rStyle w:val="Odwoanieprzypisudolnego"/>
                <w:rFonts w:ascii="Cambria" w:eastAsia="Times New Roman" w:hAnsi="Cambria" w:cs="Times New Roman"/>
                <w:szCs w:val="20"/>
                <w:lang w:eastAsia="pl-PL"/>
              </w:rPr>
              <w:footnoteReference w:id="12"/>
            </w:r>
            <w:r w:rsidR="00A45EB8" w:rsidRPr="005B0B70">
              <w:rPr>
                <w:rFonts w:ascii="Cambria" w:eastAsia="Times New Roman" w:hAnsi="Cambria" w:cs="Times New Roman"/>
                <w:szCs w:val="20"/>
                <w:lang w:eastAsia="pl-PL"/>
              </w:rPr>
              <w:t>;</w:t>
            </w:r>
          </w:p>
          <w:p w14:paraId="75EF6D79" w14:textId="33C50651"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na wysokości umożliwiającej naciśnięcie przycisku przez osobę poruszającą się na wózku</w:t>
            </w:r>
            <w:r w:rsidR="00A45EB8" w:rsidRPr="005B0B70">
              <w:rPr>
                <w:rFonts w:ascii="Cambria" w:eastAsia="Times New Roman" w:hAnsi="Cambria" w:cs="Times New Roman"/>
                <w:szCs w:val="20"/>
                <w:lang w:eastAsia="pl-PL"/>
              </w:rPr>
              <w:t>;</w:t>
            </w:r>
          </w:p>
          <w:p w14:paraId="7D47A7C0" w14:textId="2669E9FC"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do środka umieszczony po prawej stronie drugich drzwi, na prawo lub pod przyciskiem otwierania drzwi przez pasażerów (ZO2)</w:t>
            </w:r>
            <w:r w:rsidR="00A45EB8" w:rsidRPr="005B0B70">
              <w:rPr>
                <w:rFonts w:ascii="Cambria" w:eastAsia="Times New Roman" w:hAnsi="Cambria" w:cs="Times New Roman"/>
                <w:szCs w:val="20"/>
                <w:lang w:eastAsia="pl-PL"/>
              </w:rPr>
              <w:t>;</w:t>
            </w:r>
          </w:p>
          <w:p w14:paraId="40FB6710"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na zewnątrz umieszczony na prawym skrzydle drugich drzwi, w pod przyciskiem otwierania drzwi przez pasażerów (ZO2),</w:t>
            </w:r>
          </w:p>
          <w:p w14:paraId="07ADA376" w14:textId="2C08DA8B"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przycisku żółty</w:t>
            </w:r>
            <w:r w:rsidR="00A45EB8" w:rsidRPr="005B0B70">
              <w:rPr>
                <w:rFonts w:ascii="Cambria" w:eastAsia="Times New Roman" w:hAnsi="Cambria" w:cs="Times New Roman"/>
                <w:szCs w:val="20"/>
                <w:lang w:eastAsia="pl-PL"/>
              </w:rPr>
              <w:t>;</w:t>
            </w:r>
          </w:p>
          <w:p w14:paraId="2B64A6C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kolor przycisku niebieski,</w:t>
            </w:r>
          </w:p>
          <w:p w14:paraId="4F5E1F7E"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oznakowany symbolem graficznym wózka inwalidzkiego umieszczonym bezpośrednio na przycisku,</w:t>
            </w:r>
          </w:p>
          <w:p w14:paraId="68EAF565"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przycisk typu sensorycznego (dotykowy), </w:t>
            </w:r>
          </w:p>
          <w:p w14:paraId="18D50E9E"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dla drzwi otwieranych na zewnątrz dopuszczony przycisk mechaniczny – z sygnalizacją mechaniczną naciśnięcia poprzez wyraźnie wyczuwalny skok przycisku,</w:t>
            </w:r>
          </w:p>
          <w:p w14:paraId="409E7E9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chwilowe podświetlenie przycisku lub pola dokoła przycisku na czerwono,</w:t>
            </w:r>
          </w:p>
          <w:p w14:paraId="1B6B53BB"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 z dodatkowym piktogramem osoby na wózku inwalidzkim,</w:t>
            </w:r>
          </w:p>
          <w:p w14:paraId="7F77DD7C"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poprzez podświetlenie przycisku lub pola dokoła przycisku na zielono w momencie otwarcia drzwi lub gdy aktywna jest funkcja otwierania drzwi przez pasażerów (UZO).</w:t>
            </w:r>
          </w:p>
          <w:p w14:paraId="3478D2DC"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obsługi otwierania drzwi wewnątrz pojazdu:</w:t>
            </w:r>
          </w:p>
          <w:p w14:paraId="1A3E22A8"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WOS1</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WOS</w:t>
            </w:r>
            <w:r w:rsidR="007A2A67"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 xml:space="preserve"> (WOSx, gdzie x oznacza numer kolejnych drzwi) – zestawy od jednego do trzech przycisków przyporządkowane funkcyjnie, tj. służące do otwierania tylko tych drzwi przy (lub na) których są umieszczone; </w:t>
            </w:r>
          </w:p>
          <w:p w14:paraId="5CC44D9D"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funkcjonujące również jak przyciski powiadamiania o zamiarze zatrzymania WSx </w:t>
            </w:r>
          </w:p>
          <w:p w14:paraId="71E25DEB"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wyposażone w funkcję pamięci, która powoduje zapamiętanie faktu naciśnięcia danego przycisku;</w:t>
            </w:r>
          </w:p>
          <w:p w14:paraId="1439F111"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do środka umieszczone na poręczach (lub innych elementach zabudowy wnętrza pojazdu):</w:t>
            </w:r>
          </w:p>
          <w:p w14:paraId="0DE1D3D9"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przycisk przy I drzwiach tylko po prawej stronie drzwi, </w:t>
            </w:r>
          </w:p>
          <w:p w14:paraId="2B88E7ED" w14:textId="77777777" w:rsidR="00877A35" w:rsidRPr="005B0B70" w:rsidRDefault="007A2A67"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przy II,</w:t>
            </w:r>
            <w:r w:rsidR="00877A35" w:rsidRPr="005B0B70">
              <w:rPr>
                <w:rFonts w:ascii="Cambria" w:eastAsia="Times New Roman" w:hAnsi="Cambria" w:cs="Times New Roman"/>
                <w:szCs w:val="20"/>
                <w:lang w:eastAsia="pl-PL"/>
              </w:rPr>
              <w:t xml:space="preserve"> III</w:t>
            </w:r>
            <w:r w:rsidRPr="005B0B70">
              <w:rPr>
                <w:rFonts w:ascii="Cambria" w:eastAsia="Times New Roman" w:hAnsi="Cambria" w:cs="Times New Roman"/>
                <w:szCs w:val="20"/>
                <w:lang w:eastAsia="pl-PL"/>
              </w:rPr>
              <w:t xml:space="preserve"> i IV</w:t>
            </w:r>
            <w:r w:rsidR="00877A35" w:rsidRPr="005B0B70">
              <w:rPr>
                <w:rFonts w:ascii="Cambria" w:eastAsia="Times New Roman" w:hAnsi="Cambria" w:cs="Times New Roman"/>
                <w:szCs w:val="20"/>
                <w:lang w:eastAsia="pl-PL"/>
              </w:rPr>
              <w:t xml:space="preserve"> drzwiach po obu stronach drzwi,</w:t>
            </w:r>
          </w:p>
          <w:p w14:paraId="3E363C80" w14:textId="075D7546"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 I</w:t>
            </w:r>
            <w:r w:rsidR="007A2A67" w:rsidRPr="005B0B70">
              <w:rPr>
                <w:rFonts w:ascii="Cambria" w:eastAsia="Times New Roman" w:hAnsi="Cambria" w:cs="Times New Roman"/>
                <w:szCs w:val="20"/>
                <w:lang w:eastAsia="pl-PL"/>
              </w:rPr>
              <w:t>V</w:t>
            </w:r>
            <w:r w:rsidRPr="005B0B70">
              <w:rPr>
                <w:rFonts w:ascii="Cambria" w:eastAsia="Times New Roman" w:hAnsi="Cambria" w:cs="Times New Roman"/>
                <w:szCs w:val="20"/>
                <w:lang w:eastAsia="pl-PL"/>
              </w:rPr>
              <w:t xml:space="preserve"> drzwiach dopuszcza się tylko jeden przycisk, po lewej stronie drzwi, wyłącznie w sytuacji, gdy z przyczyn technicznych nie jest możliwe umieszczenie przycisków po obu stronach drzwi</w:t>
            </w:r>
            <w:r w:rsidR="00A45EB8" w:rsidRPr="005B0B70">
              <w:rPr>
                <w:rFonts w:ascii="Cambria" w:eastAsia="Times New Roman" w:hAnsi="Cambria" w:cs="Times New Roman"/>
                <w:szCs w:val="20"/>
                <w:lang w:eastAsia="pl-PL"/>
              </w:rPr>
              <w:t>;</w:t>
            </w:r>
          </w:p>
          <w:p w14:paraId="41BBC654"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przypadku drzwi otwieranych na zewnątrz umieszczone bezpośrednio na skrzydłach drzwi:</w:t>
            </w:r>
          </w:p>
          <w:p w14:paraId="5BB45776" w14:textId="21ECA4DF"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na I drzwiach na prawym skrzydle drzwi</w:t>
            </w:r>
            <w:r w:rsidR="00A45EB8" w:rsidRPr="005B0B70">
              <w:rPr>
                <w:rFonts w:ascii="Cambria" w:eastAsia="Times New Roman" w:hAnsi="Cambria" w:cs="Times New Roman"/>
                <w:szCs w:val="20"/>
                <w:lang w:eastAsia="pl-PL"/>
              </w:rPr>
              <w:t>;</w:t>
            </w:r>
          </w:p>
          <w:p w14:paraId="308C26A1" w14:textId="3D094E19" w:rsidR="00877A35" w:rsidRPr="005B0B70" w:rsidRDefault="007A2A67"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na II,</w:t>
            </w:r>
            <w:r w:rsidR="00877A35" w:rsidRPr="005B0B70">
              <w:rPr>
                <w:rFonts w:ascii="Cambria" w:eastAsia="Times New Roman" w:hAnsi="Cambria" w:cs="Times New Roman"/>
                <w:szCs w:val="20"/>
                <w:lang w:eastAsia="pl-PL"/>
              </w:rPr>
              <w:t xml:space="preserve"> III</w:t>
            </w:r>
            <w:r w:rsidRPr="005B0B70">
              <w:rPr>
                <w:rFonts w:ascii="Cambria" w:eastAsia="Times New Roman" w:hAnsi="Cambria" w:cs="Times New Roman"/>
                <w:szCs w:val="20"/>
                <w:lang w:eastAsia="pl-PL"/>
              </w:rPr>
              <w:t xml:space="preserve"> i IV</w:t>
            </w:r>
            <w:r w:rsidR="00877A35" w:rsidRPr="005B0B70">
              <w:rPr>
                <w:rFonts w:ascii="Cambria" w:eastAsia="Times New Roman" w:hAnsi="Cambria" w:cs="Times New Roman"/>
                <w:szCs w:val="20"/>
                <w:lang w:eastAsia="pl-PL"/>
              </w:rPr>
              <w:t xml:space="preserve"> drzwiach na lewym skrzydle drzwi oraz dodatkowo przycis</w:t>
            </w:r>
            <w:r w:rsidRPr="005B0B70">
              <w:rPr>
                <w:rFonts w:ascii="Cambria" w:eastAsia="Times New Roman" w:hAnsi="Cambria" w:cs="Times New Roman"/>
                <w:szCs w:val="20"/>
                <w:lang w:eastAsia="pl-PL"/>
              </w:rPr>
              <w:t>ki umieszczone na poręczach jw.</w:t>
            </w:r>
            <w:r w:rsidR="00A45EB8" w:rsidRPr="005B0B70">
              <w:rPr>
                <w:rFonts w:ascii="Cambria" w:eastAsia="Times New Roman" w:hAnsi="Cambria" w:cs="Times New Roman"/>
                <w:szCs w:val="20"/>
                <w:lang w:eastAsia="pl-PL"/>
              </w:rPr>
              <w:t>;</w:t>
            </w:r>
          </w:p>
          <w:p w14:paraId="0BB2C363" w14:textId="52A1088D"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przycisków szary</w:t>
            </w:r>
            <w:r w:rsidR="00A45EB8" w:rsidRPr="005B0B70">
              <w:rPr>
                <w:rFonts w:ascii="Cambria" w:eastAsia="Times New Roman" w:hAnsi="Cambria" w:cs="Times New Roman"/>
                <w:szCs w:val="20"/>
                <w:lang w:eastAsia="pl-PL"/>
              </w:rPr>
              <w:t>;</w:t>
            </w:r>
          </w:p>
          <w:p w14:paraId="63FE58B9" w14:textId="16AD3FBF"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przycisków niebieski</w:t>
            </w:r>
            <w:r w:rsidR="00A45EB8" w:rsidRPr="005B0B70">
              <w:rPr>
                <w:rFonts w:ascii="Cambria" w:eastAsia="Times New Roman" w:hAnsi="Cambria" w:cs="Times New Roman"/>
                <w:szCs w:val="20"/>
                <w:lang w:eastAsia="pl-PL"/>
              </w:rPr>
              <w:t>;</w:t>
            </w:r>
          </w:p>
          <w:p w14:paraId="2F9E8E0B" w14:textId="1D6AC48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na przycisku lub na obudowie piktogramem w formie dwóch przeciwnie skierowanych strzałek „&lt; &gt;” z piktogramem drzwi pomiędzy strzałkami oraz z napisem „STOP”</w:t>
            </w:r>
            <w:r w:rsidR="00A45EB8" w:rsidRPr="005B0B70">
              <w:rPr>
                <w:rFonts w:ascii="Cambria" w:eastAsia="Times New Roman" w:hAnsi="Cambria" w:cs="Times New Roman"/>
                <w:szCs w:val="20"/>
                <w:lang w:eastAsia="pl-PL"/>
              </w:rPr>
              <w:t>;</w:t>
            </w:r>
          </w:p>
          <w:p w14:paraId="70BC17DB" w14:textId="7BC04BD0"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dodatkowo napisem „STOP” w alfabecie Braille’a</w:t>
            </w:r>
            <w:r w:rsidR="00A45EB8" w:rsidRPr="005B0B70">
              <w:rPr>
                <w:rFonts w:ascii="Cambria" w:eastAsia="Times New Roman" w:hAnsi="Cambria" w:cs="Times New Roman"/>
                <w:szCs w:val="20"/>
                <w:lang w:eastAsia="pl-PL"/>
              </w:rPr>
              <w:t>;</w:t>
            </w:r>
          </w:p>
          <w:p w14:paraId="7AEC20EB" w14:textId="4B50EBAF"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mechaniczną naciśnięcia poprzez wyraźnie wyczuwalny skok przycisku</w:t>
            </w:r>
            <w:r w:rsidR="00A45EB8" w:rsidRPr="005B0B70">
              <w:rPr>
                <w:rFonts w:ascii="Cambria" w:eastAsia="Times New Roman" w:hAnsi="Cambria" w:cs="Times New Roman"/>
                <w:szCs w:val="20"/>
                <w:lang w:eastAsia="pl-PL"/>
              </w:rPr>
              <w:t>;</w:t>
            </w:r>
          </w:p>
          <w:p w14:paraId="4FB7DB05" w14:textId="04B4C204"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podświetlenie przycisku lub pola dokoła przycisku na czerwono</w:t>
            </w:r>
            <w:r w:rsidR="00A45EB8" w:rsidRPr="005B0B70">
              <w:rPr>
                <w:rFonts w:ascii="Cambria" w:eastAsia="Times New Roman" w:hAnsi="Cambria" w:cs="Times New Roman"/>
                <w:szCs w:val="20"/>
                <w:lang w:eastAsia="pl-PL"/>
              </w:rPr>
              <w:t>;</w:t>
            </w:r>
          </w:p>
          <w:p w14:paraId="5B5A2E33" w14:textId="62584BAA"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w:t>
            </w:r>
            <w:r w:rsidR="00A45EB8" w:rsidRPr="005B0B70">
              <w:rPr>
                <w:rFonts w:ascii="Cambria" w:eastAsia="Times New Roman" w:hAnsi="Cambria" w:cs="Times New Roman"/>
                <w:szCs w:val="20"/>
                <w:lang w:eastAsia="pl-PL"/>
              </w:rPr>
              <w:t>;</w:t>
            </w:r>
          </w:p>
          <w:p w14:paraId="2DAB3D2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1D551CB1" w14:textId="650B0075"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powiadamiania o zamiarze zatrzymania, tzw. STOP</w:t>
            </w:r>
            <w:r w:rsidR="00A45EB8"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na żądanie” wewnątrz pojazdu:</w:t>
            </w:r>
          </w:p>
          <w:p w14:paraId="653A75E2" w14:textId="77777777"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WS1y</w:t>
            </w:r>
            <w:r w:rsidR="00A74EF0"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WS</w:t>
            </w:r>
            <w:r w:rsidR="007A2A67" w:rsidRPr="005B0B70">
              <w:rPr>
                <w:rFonts w:ascii="Cambria" w:eastAsia="Times New Roman" w:hAnsi="Cambria" w:cs="Times New Roman"/>
                <w:szCs w:val="20"/>
                <w:lang w:eastAsia="pl-PL"/>
              </w:rPr>
              <w:t>4</w:t>
            </w:r>
            <w:r w:rsidRPr="005B0B70">
              <w:rPr>
                <w:rFonts w:ascii="Cambria" w:eastAsia="Times New Roman" w:hAnsi="Cambria" w:cs="Times New Roman"/>
                <w:szCs w:val="20"/>
                <w:lang w:eastAsia="pl-PL"/>
              </w:rPr>
              <w:t>y (WSxy, gdzie x oznacza numer kolejnych drzwi) – zgrupowane funkcjonalnie i przypisane funkcjonalnie do najbliższych drzwi dla danego przycisku w danej grupie – tj. funkcjonujące w strefach działania przycisków;</w:t>
            </w:r>
          </w:p>
          <w:p w14:paraId="0EC9592A" w14:textId="397772F2" w:rsidR="00877A35" w:rsidRPr="005B0B70" w:rsidRDefault="00877A35"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równomiernie rozmieszczone na całej długości przestrzeni pasażerskiej w taki sposób, aby w zasięgu pasażera zajmującego każde z miejsc siedzących, tj. siedzącego, znajdował się przycisk (uwzględnia się przyciski otwierania drzwi (WOx)</w:t>
            </w:r>
            <w:r w:rsidR="007962C9" w:rsidRPr="005B0B70">
              <w:rPr>
                <w:rFonts w:ascii="Cambria" w:eastAsia="Times New Roman" w:hAnsi="Cambria" w:cs="Times New Roman"/>
                <w:szCs w:val="20"/>
                <w:lang w:eastAsia="pl-PL"/>
              </w:rPr>
              <w:t>;</w:t>
            </w:r>
          </w:p>
          <w:p w14:paraId="43C8A08E"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umieszczone na poręczach lub innych powierzchniach zabudowy nadwozia; </w:t>
            </w:r>
          </w:p>
          <w:p w14:paraId="02C4458D"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przyciski umieszczone przy miejscach siedzących, np. na ścianie bocznej pojazdu, o konstrukcji oraz w usytuowaniu uniemożliwiających przypadkowe naciśnięcie przycisku przez osobę siedzącą; </w:t>
            </w:r>
          </w:p>
          <w:p w14:paraId="3EACDD28"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liczbie: minimalnej – 1 przycisk na każde 2 miejsca siedzące, zalecanej – na wszystkich pionowych poręczach;</w:t>
            </w:r>
          </w:p>
          <w:p w14:paraId="08AD2473"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przycisków szary;</w:t>
            </w:r>
          </w:p>
          <w:p w14:paraId="755BFCE2"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przycisków czerwony;</w:t>
            </w:r>
          </w:p>
          <w:p w14:paraId="65015147"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napisem na przycisku „STOP”;</w:t>
            </w:r>
          </w:p>
          <w:p w14:paraId="7E97EF4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oznaczone dodatkowo napisem „STOP” w alfabecie Braille’a;</w:t>
            </w:r>
          </w:p>
          <w:p w14:paraId="25C35282"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mechaniczną naciśnięcia poprzez wyraźnie wyczuwalny skok przycisku;</w:t>
            </w:r>
          </w:p>
          <w:p w14:paraId="5141054A"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podświetlenie przycisku lub pola dokoła przycisku na czerwono;</w:t>
            </w:r>
          </w:p>
          <w:p w14:paraId="4674CD5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w:t>
            </w:r>
          </w:p>
          <w:p w14:paraId="09F633D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 sygnalizujący konieczność użycia rampy dla wózka inwalidzkiego wewnątrz pojazdu – WWIS:</w:t>
            </w:r>
          </w:p>
          <w:p w14:paraId="452F592E"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zgodnie z wymaganiami Załącznika 8 do Regulaminu nr 107 EKG ONZ;</w:t>
            </w:r>
          </w:p>
          <w:p w14:paraId="447D1BA4"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przy miejscu przeznaczonym na wózek inwalidzki na wysokości umożliwiającej naciśnięcie przycisku przez osobę poruszającą się na wózku,</w:t>
            </w:r>
          </w:p>
          <w:p w14:paraId="0E9A4BEE"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przycisku żółty;</w:t>
            </w:r>
          </w:p>
          <w:p w14:paraId="505FABC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przycisku niebieski;</w:t>
            </w:r>
          </w:p>
          <w:p w14:paraId="014D9B42"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oznakowany symbolem graficznym wózka inwalidzkiego umieszczonym bezpośrednio na przycisku;</w:t>
            </w:r>
          </w:p>
          <w:p w14:paraId="1949DBAA"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mechaniczną naciśnięcia poprzez wyraźnie wyczuwalny skok przycisku;</w:t>
            </w:r>
          </w:p>
          <w:p w14:paraId="417CD470"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dźwiękową naciśnięcia;</w:t>
            </w:r>
          </w:p>
          <w:p w14:paraId="6CEE9D32"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podświetlenie przycisku lub pola dokoła przycisku na czerwono;</w:t>
            </w:r>
          </w:p>
          <w:p w14:paraId="19117ADB"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w:t>
            </w:r>
          </w:p>
          <w:p w14:paraId="4EA2E86B"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Przyciski sygnalizujące zamiar wysiadania przez osobę z wózkiem dziecięcym wewnątrz pojazdu – WWDS:</w:t>
            </w:r>
          </w:p>
          <w:p w14:paraId="5ABB27F0"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umieszczony przy miejscu przeznaczonym na wózek dziecięcy oraz przy miejscu na wózek inwalidzki,</w:t>
            </w:r>
          </w:p>
          <w:p w14:paraId="58F7FE93"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obudowy przycisku żółty;</w:t>
            </w:r>
          </w:p>
          <w:p w14:paraId="3CEE25D1"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przycisku niebieski;</w:t>
            </w:r>
          </w:p>
          <w:p w14:paraId="172DA9A8"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oznakowany symbolem graficznym wózka dziecięcego umieszczonym bezpośrednio na przycisku;</w:t>
            </w:r>
          </w:p>
          <w:p w14:paraId="4DD246A1"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mechaniczną naciśnięcia poprzez wyraźnie wyczuwalny skok przycisku;</w:t>
            </w:r>
          </w:p>
          <w:p w14:paraId="16EC7BF6"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świetlną naciśnięcia poprzez podświetlenie przycisku lub pola dokoła przycisku na czerwono;</w:t>
            </w:r>
          </w:p>
          <w:p w14:paraId="095C4E4F" w14:textId="77777777" w:rsidR="007962C9" w:rsidRPr="005B0B70" w:rsidRDefault="007962C9" w:rsidP="00A45EB8">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sygnalizacją naciśnięcia na desce rozdzielczej prowadzącego pojazd.</w:t>
            </w:r>
          </w:p>
          <w:p w14:paraId="3C33ACA5" w14:textId="18F6813C" w:rsidR="00877A35" w:rsidRPr="005B0B70" w:rsidRDefault="00877A35" w:rsidP="005B0B70">
            <w:pPr>
              <w:spacing w:after="0" w:line="240" w:lineRule="auto"/>
              <w:jc w:val="both"/>
              <w:rPr>
                <w:rFonts w:ascii="Cambria" w:eastAsia="Times New Roman" w:hAnsi="Cambria" w:cs="Times New Roman"/>
                <w:szCs w:val="20"/>
                <w:lang w:eastAsia="pl-PL"/>
              </w:rPr>
            </w:pPr>
          </w:p>
        </w:tc>
      </w:tr>
      <w:tr w:rsidR="005B0B70" w:rsidRPr="005B0B70" w14:paraId="5B0F9C14" w14:textId="77777777" w:rsidTr="008B1FA0">
        <w:tc>
          <w:tcPr>
            <w:tcW w:w="379" w:type="dxa"/>
          </w:tcPr>
          <w:p w14:paraId="4A763A39"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4A48648" w14:textId="02CBF605"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Kabina kierowcy</w:t>
            </w:r>
          </w:p>
        </w:tc>
        <w:tc>
          <w:tcPr>
            <w:tcW w:w="7882" w:type="dxa"/>
          </w:tcPr>
          <w:p w14:paraId="64AAC0B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typu zamkniętego, z wydzielonym wejściem dla kierowcy przez przednie skrzydło pierwszych drzwi sterowane osobno i niezależnie, z zachowaniem minimalnej szerokości wejścia dla pasażerów 550 mm; dopuszcza się </w:t>
            </w:r>
            <w:r w:rsidRPr="005B0B70">
              <w:rPr>
                <w:rFonts w:ascii="Cambria" w:eastAsia="Times New Roman" w:hAnsi="Cambria" w:cs="Times New Roman"/>
                <w:szCs w:val="20"/>
                <w:lang w:eastAsia="pl-PL"/>
              </w:rPr>
              <w:lastRenderedPageBreak/>
              <w:t>miejscowo prześwit do około 250 mm pomiędzy zabudową a sufitem, jeśli spowodowany jest względami konstrukcyjnymi, np. koniecznością otwierania się pokryw schowków itp.; nie dopuszcza się prześwitów pomiędzy elementami konstrukcyjnymi kabiny oraz pomiędzy kabiną i podłogą autobusu;</w:t>
            </w:r>
          </w:p>
          <w:p w14:paraId="05AFA2D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klimatyzowana, z możliwością regulacji kierunku i wydatku nadmuchu ciepłego oraz zimnego powietrza;</w:t>
            </w:r>
          </w:p>
          <w:p w14:paraId="3E05F535"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posiadająca sterowany niezależnie wydajny system ogrzewania z nadmuchem ciepłego powietrza w rejon nóg kierowcy, </w:t>
            </w:r>
            <w:r w:rsidRPr="005B0B70">
              <w:rPr>
                <w:rFonts w:ascii="Cambria" w:eastAsia="Times New Roman" w:hAnsi="Cambria" w:cs="Times New Roman"/>
                <w:lang w:eastAsia="pl-PL"/>
              </w:rPr>
              <w:t xml:space="preserve">gwarantujący uzyskanie w okresie zimowym, przy temperaturze zewnętrznej –15°C, temperatury w kabinie kierowcy min. +18 °C (warunki pomiaru – okna i drzwi zamknięte, pomiar na miejscu kierowcy przy podłodze i na wysokości głowy kierowcy); zalecane zastosowanie </w:t>
            </w:r>
            <w:r w:rsidRPr="005B0B70">
              <w:rPr>
                <w:rFonts w:ascii="Cambria" w:eastAsia="Times New Roman" w:hAnsi="Cambria" w:cs="Times New Roman"/>
                <w:szCs w:val="20"/>
                <w:lang w:eastAsia="pl-PL"/>
              </w:rPr>
              <w:t>dodatkowej nagrzewnicy typu dmuchawa, sterowanej niezależnie, zapewniającej nadmuch ciepłego powietrza w rejon nóg kierowcy;</w:t>
            </w:r>
          </w:p>
          <w:p w14:paraId="059CBE76"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dostatecznie izolująca stanowisko kierowcy przed ewentualną agresją pasażerów;</w:t>
            </w:r>
          </w:p>
          <w:p w14:paraId="69435DED"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oświetleniem ogólnym i punktowym z możliwością regulacji kierunku strumienia światła, wykonanym w technologii LED, z natężeniem oświetlenia min. 70 lux w punkcie centralnym kierownicy;</w:t>
            </w:r>
          </w:p>
          <w:p w14:paraId="58773B9E"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drzwi wewnętrzne otwierane w kierunku przestrzeni pasażerskiej, wyposażone w zamek zamykany na kluczyk od strony zewnętrznej oraz z możliwością prostego zablokowania przez kierowcę od środka (zabezpieczenie przed otworzeniem drzwi do kabiny przez osoby nieupoważnione), wyposażone w otwory umożliwiające kontakt głosowy z kierowcą jednocześnie zapewniający bezpieczeństwo kierowcy przed możliwością ingerencji ze strony przedziału pasażerskiego;</w:t>
            </w:r>
          </w:p>
          <w:p w14:paraId="7136F32A"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rolety przeciwsłoneczne na oknie bocznym oraz na lewej części szyby przedniej (przed miejscem kierowcy), zalecane elektryczne sterowanie pracą rolet z poziomu miejsca pracy kierowcy; górna część szyby przedniej (szyb przednich) oraz szyby okna bocznego kierowcy przyciemniona przy pomocy folii samoprzylepnej przeciwsłonecznej wg ustaleń pkt. VI 5;</w:t>
            </w:r>
          </w:p>
          <w:p w14:paraId="641B792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zabezpieczona przed powstawaniem odblasków oraz refleksów poprzez odpowiednie oklejenie wybranych szyb kabiny kierowcy specjalną folią antyrefleksyjną;</w:t>
            </w:r>
          </w:p>
          <w:p w14:paraId="0D02F65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zabezpieczona przed zjawiskiem oślepiania kierowcy przez oświetlenie wnętrza autobusu bezpośrednio lub przez lusterka wewnętrzne: lampy oświetlenia wnętrza autobusu nie powodujące oślepiania kierowcy, lampy oświetlenia przedniej części wnętrza autobusu posiadające możliwość niezależnego wyłączenia lub zmniejszenia jasności świecenia, lampa oświetlenia obszaru drzwi przednich (po ich otwarciu) umieszczona w zagłębieniu lub posiadająca odpowiednią osłonę;</w:t>
            </w:r>
          </w:p>
          <w:p w14:paraId="45B0BA59"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uchwyt do mocowania rozkładu jazdy formatu A5 z oświetleniem (LED) umieszczonym na elastycznym wysięgniku, znajdujący się poza polem widzenia prowadzącego pojazd, nie ograniczający pola widzenia kierowcy.</w:t>
            </w:r>
            <w:r w:rsidRPr="005B0B70">
              <w:rPr>
                <w:rFonts w:ascii="Times New Roman" w:eastAsia="Times New Roman" w:hAnsi="Times New Roman" w:cs="Times New Roman"/>
                <w:sz w:val="20"/>
                <w:szCs w:val="20"/>
                <w:lang w:eastAsia="pl-PL"/>
              </w:rPr>
              <w:t xml:space="preserve"> </w:t>
            </w:r>
            <w:r w:rsidRPr="005B0B70">
              <w:rPr>
                <w:rFonts w:ascii="Cambria" w:eastAsia="Times New Roman" w:hAnsi="Cambria" w:cs="Times New Roman"/>
                <w:szCs w:val="20"/>
                <w:lang w:eastAsia="pl-PL"/>
              </w:rPr>
              <w:t>Uwaga: o ile ze względów technologicznych nie można zapewnić warunku nieograniczania pola widzenia kierowcy należy wskazać inne miejsce/sposób na położenie/umocowanie rozkładu jazdy;</w:t>
            </w:r>
          </w:p>
          <w:p w14:paraId="27E9CD43"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mikrofon dla kierowcy bez elastycznego wysięgnika zabudowany w elemencie kabiny, zapewniający możliwość wygłaszania bez zakłóceń komunikatów dla pasażerów zgodnie z wymaganiami dla systemu nagłaśniającego;</w:t>
            </w:r>
          </w:p>
          <w:p w14:paraId="4F74508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gniazdo dla mikrofonu dodatkowego, 1 szt. typu DIN 4 pin/216°, umieszczone w pasie nadokiennym bezpośrednio za I drzwiami;</w:t>
            </w:r>
          </w:p>
          <w:p w14:paraId="3C41B53D"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wyposażona w gniazdo zapalniczki 12V, min. 15A umieszczone w zasięgu kierowcy;</w:t>
            </w:r>
          </w:p>
          <w:p w14:paraId="3FD2C47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ładowarkę USB Typ A i Typ C 5V/2A;</w:t>
            </w:r>
          </w:p>
          <w:p w14:paraId="13C80B3C"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wieszak na ubranie umieszczony na ścianie za fotelem kierowcy, umożliwiający bezpieczne przewożenie (bezpośrednio lub np. na typowym wieszaku ubraniowym) kurtki, marynarki itp.</w:t>
            </w:r>
          </w:p>
          <w:p w14:paraId="7C63B5E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zamykany na kluczyk schowek na dokumenty i rzeczy osobiste kierowcy, schowek umożliwiający włożenie przedmiotu o wymiarach około 120x250x400 mm, kieszeń lub zamykany schowek na bezpieczne przewożenie okularów, telefonu komórkowego;</w:t>
            </w:r>
          </w:p>
          <w:p w14:paraId="1845D56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klimatyzowany schowek lub urządzenie schładzające do przewożenia minimum 1 szt. typowej butelki 1,5 l w pozycji stojącej (zalecany schowek na 2 szt. butelek 1,5 l);</w:t>
            </w:r>
          </w:p>
          <w:p w14:paraId="4A18A7B6"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wyposażona w uchwyt (podstawkę) umożliwiający bezpieczne (bez zagrożenia dla urządzeń sterujących) postawienie typowej szklanki (kubka) o pojemności do 0,5l;</w:t>
            </w:r>
          </w:p>
          <w:p w14:paraId="7FAE4164" w14:textId="2EE6BC0C" w:rsidR="007962C9" w:rsidRPr="005B0B70" w:rsidRDefault="007962C9" w:rsidP="007962C9">
            <w:pPr>
              <w:numPr>
                <w:ilvl w:val="0"/>
                <w:numId w:val="15"/>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zalecane dodatkowe półki lub schowki: na drzwiach kabiny, po lewej stronie kabiny pod oknem, nad oknem itp.;</w:t>
            </w:r>
          </w:p>
        </w:tc>
      </w:tr>
      <w:tr w:rsidR="005B0B70" w:rsidRPr="005B0B70" w14:paraId="75426048" w14:textId="77777777" w:rsidTr="008B1FA0">
        <w:tc>
          <w:tcPr>
            <w:tcW w:w="379" w:type="dxa"/>
          </w:tcPr>
          <w:p w14:paraId="00E383C3"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34270CF" w14:textId="3C9E7524"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F</w:t>
            </w:r>
            <w:r w:rsidR="00877A35" w:rsidRPr="005B0B70">
              <w:rPr>
                <w:rFonts w:ascii="Cambria" w:eastAsia="Times New Roman" w:hAnsi="Cambria" w:cs="Times New Roman"/>
                <w:szCs w:val="20"/>
                <w:lang w:eastAsia="pl-PL"/>
              </w:rPr>
              <w:t>otel kierowcy</w:t>
            </w:r>
          </w:p>
        </w:tc>
        <w:tc>
          <w:tcPr>
            <w:tcW w:w="7882" w:type="dxa"/>
          </w:tcPr>
          <w:p w14:paraId="6CBD961F"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zawieszeniem pneumatycznym i pełną regulacją bezstopniową (lub precyzyjną wielostopniową), w zależności od indywidualnych potrzeb kierowcy, z funkcją pneumatycznego dopasowania do kształtu pleców oraz funkcją obrotu fotela, dopuszcza się inne funkcje takie jak: funkcja masażu, funkcja wentylacji/chłodzenia;</w:t>
            </w:r>
          </w:p>
          <w:p w14:paraId="403516A7"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podgrzewany elektrycznie, wyposażony w zagłówek i składane podłokietniki, długość podłokietników dobrana w taki sposób, aby przy obracaniu fotela nie ocierały się o deskę rozdzielczą lub kierownicę niezależnie od położenia;</w:t>
            </w:r>
          </w:p>
          <w:p w14:paraId="4FB2D404"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trzy punktowy pas bezpieczeństwa zintegrowany z fotelem;</w:t>
            </w:r>
          </w:p>
          <w:p w14:paraId="1A7C850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elementy regulacji umieszczone z prawej strony;</w:t>
            </w:r>
          </w:p>
          <w:p w14:paraId="36075241"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tkanina tapicerska, o dużej odporności na zużycie (wycieranie, zabrudzenie), w kolorze ciemno szarym (dopuszcza się łączenie kilku wzorów);</w:t>
            </w:r>
          </w:p>
          <w:p w14:paraId="6CA79D17" w14:textId="51EB47C0" w:rsidR="00877A35" w:rsidRPr="005B0B70" w:rsidRDefault="007962C9" w:rsidP="007962C9">
            <w:pPr>
              <w:spacing w:after="0" w:line="240" w:lineRule="auto"/>
              <w:ind w:left="360" w:hanging="360"/>
              <w:rPr>
                <w:rFonts w:ascii="Cambria" w:eastAsia="Times New Roman" w:hAnsi="Cambria" w:cs="Times New Roman"/>
                <w:szCs w:val="20"/>
                <w:lang w:eastAsia="pl-PL"/>
              </w:rPr>
            </w:pPr>
            <w:r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ab/>
              <w:t>materiał tapicerski fotela wzmocniony w miejscach szczególnie narażonych na przetarcie (kierowca wsiada z prawej strony pojazdu);</w:t>
            </w:r>
          </w:p>
        </w:tc>
      </w:tr>
      <w:tr w:rsidR="005B0B70" w:rsidRPr="005B0B70" w14:paraId="66F78809" w14:textId="77777777" w:rsidTr="008B1FA0">
        <w:tc>
          <w:tcPr>
            <w:tcW w:w="379" w:type="dxa"/>
          </w:tcPr>
          <w:p w14:paraId="0E749DC6"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2AD572E6" w14:textId="03234AD4"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Fotele pasażerskie</w:t>
            </w:r>
          </w:p>
        </w:tc>
        <w:tc>
          <w:tcPr>
            <w:tcW w:w="7882" w:type="dxa"/>
          </w:tcPr>
          <w:p w14:paraId="739B1D47"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o ergonomicznym kształcie; </w:t>
            </w:r>
          </w:p>
          <w:p w14:paraId="20BF1459"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 minimalnej szerokości siedziska 440 mm liczonej jako zewnętrzna szerokość korpusu fotela;</w:t>
            </w:r>
          </w:p>
          <w:p w14:paraId="5D7C4F01"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 minimalnej wysokości oparcia 450 mm liczonej od najniższego punktu siedziska do najwyższego punktu oparcia (części stałej, nie wliczając uchwytów itp.) w osi środkowej;</w:t>
            </w:r>
          </w:p>
          <w:p w14:paraId="04EFCDCE"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odpowiednio nachylonym siedziskiem – minimalny spadek siedziska ku części tylnej 4°;</w:t>
            </w:r>
          </w:p>
          <w:p w14:paraId="7EB715A6" w14:textId="77777777" w:rsidR="007962C9" w:rsidRPr="005B0B70" w:rsidRDefault="007962C9" w:rsidP="007962C9">
            <w:pPr>
              <w:numPr>
                <w:ilvl w:val="0"/>
                <w:numId w:val="15"/>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 odpowiednio nachylonym oparciem – minimalne pochylenie oparcia 17°;</w:t>
            </w:r>
          </w:p>
          <w:p w14:paraId="50C67BE3"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wyprofilowanym (zagłębionym) w osi podłużnej i poprzecznej siedziskiem – minimalna wartość zagłębienia w osi poprzecznej 40 mm względem bocznych krawędzi fotela, minimalna wartość zagłębienia w osi podłużnej 30 mm względem przedniej krawędzi siedziska;</w:t>
            </w:r>
          </w:p>
          <w:p w14:paraId="698B939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wyprofilowanym (zagłębionym) w osi poprzecznej oparciem – minimalna wartość zagłębienia 40 mm względem bocznych krawędzi fotela;</w:t>
            </w:r>
          </w:p>
          <w:p w14:paraId="2AAA3025"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 wyprofilowanym lędźwiowo (wysuniętym) w osi podłużnej oparciem – minimalna wartość wysunięcia 20 mm względem płaszczyzny oparcia liczona wzdłuż osi podłużnej, wysokość wysuniętego punktu podparcia lędźwiowego w przedziale 160-220 mm liczona od najniższego punktu siedziska;</w:t>
            </w:r>
          </w:p>
          <w:p w14:paraId="5E05D3EE"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z przednią krawędzią wkładki tapicerskiej siedziska łagodnie zaokrągloną i płynnie przechodzącą w przednią krawędź siedziska (brak uskoku wkładki tapicerskiej w przedniej krawędzi siedziska).</w:t>
            </w:r>
          </w:p>
          <w:p w14:paraId="20A03F2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odporne na „graffiti”;</w:t>
            </w:r>
          </w:p>
          <w:p w14:paraId="3EA3B860"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korpus siedzenia ze stali nierdzewnej lub z tworzywa sztucznego w kolorze szarym (dopuszcza się łączenie różnych odcieni szarości) oraz w kolorze żółtym, zbliżonym do RAL 1004, dla foteli wykonanych jako siedzenia specjalne dla pasażerów niepełnosprawnych;  </w:t>
            </w:r>
          </w:p>
          <w:p w14:paraId="29E5025C"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elementy stelaży mające kontakt z podłogą muszą być wykonane ze stali nierdzewnej, natomiast elementy ze stali konstrukcyjnej zabezpieczone powłoką gwarantującą odporność na wycieranie szczotką (np. malowanie proszkowe o zwiększonej twardości powierzchniowej), w kolorze ciemnym szarym;</w:t>
            </w:r>
          </w:p>
          <w:p w14:paraId="519841D6"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 fotelach umieszczonych na podestach zastosowane ograniczniki biodrowe od strony przejścia środkowego oraz z korpusem żółtym zbliżonym do RAL 1004;</w:t>
            </w:r>
          </w:p>
          <w:p w14:paraId="59229458"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na fotelach wykonanych jako siedzenia specjalne dla pasażerów niepełnosprawnych, o których mowa w pkt. III.1 niniejszego Załącznika, zastosowane podłokietniki uchylane od strony przejścia środkowego;</w:t>
            </w:r>
          </w:p>
          <w:p w14:paraId="1EA1D980"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wszystkie poręcze, uchwyty, podłokietniki, ograniczniki biodrowe itp. przeznaczone dla pasażerów, wykonane w kolorze żółtym RAL 1004 (elementy lakierowane) lub kolorze zbliżonym (elementy wykonane z tworzyw i nie lakierowane);</w:t>
            </w:r>
          </w:p>
          <w:p w14:paraId="4221BBB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pokrycie foteli wykonane ze skóry ekologicznej posiadające wierzchnią stronę fakturowaną (zapobiegającą ześlizgiwaniu się z fotela) lub z tapicerki materiałowej (Zamawiający wskaże rozwiązanie przed podpisaniem Umowy);</w:t>
            </w:r>
          </w:p>
          <w:p w14:paraId="232A7E59"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tapicerka ze skóry ekologicznej w kolorze wybranym spośród minimum pięciu koncepcji (wizualizacji) przedstawionych przez Wykonawcę; tapicerka materiałowa w kolorze ciemnoczerwonym, kolor i wzór określony w Załączniku 1.6 do SWZ;</w:t>
            </w:r>
          </w:p>
          <w:p w14:paraId="303DD847"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materiały tapicerskie o dużej odporności na zużycie (wycieranie w szczególności na bocznych oraz przedniej krawędzi wkładki tapicerskiej siedziska, zabrudzenie) oraz o podwyższonej odporności na akty wandalizmu (rozerwanie, przecięcie itp.);</w:t>
            </w:r>
          </w:p>
          <w:p w14:paraId="4F9EDB42"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wkładki tapicerskie siedziska i oparcia, wyposażone w gąbkę zmiękczającą pod tapicerką, w wykonaniu łatwo wymienialnym;</w:t>
            </w:r>
          </w:p>
          <w:p w14:paraId="1C4E470C" w14:textId="77777777" w:rsidR="007962C9" w:rsidRPr="005B0B70" w:rsidRDefault="007962C9" w:rsidP="007962C9">
            <w:pPr>
              <w:numPr>
                <w:ilvl w:val="0"/>
                <w:numId w:val="15"/>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mocowanie foteli do nadwozia w sposób ułatwiający sprzątanie autobusu – maksymalnie wykorzystana możliwość mocowania foteli tylko do ścian bocznych;</w:t>
            </w:r>
          </w:p>
          <w:p w14:paraId="78DD9058" w14:textId="0208698F" w:rsidR="007962C9" w:rsidRPr="005B0B70" w:rsidRDefault="007962C9" w:rsidP="007962C9">
            <w:pPr>
              <w:numPr>
                <w:ilvl w:val="0"/>
                <w:numId w:val="15"/>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materiał tapicerski antybakteryjny;</w:t>
            </w:r>
          </w:p>
        </w:tc>
      </w:tr>
      <w:tr w:rsidR="005B0B70" w:rsidRPr="005B0B70" w14:paraId="0161F592" w14:textId="77777777" w:rsidTr="008B1FA0">
        <w:tc>
          <w:tcPr>
            <w:tcW w:w="379" w:type="dxa"/>
          </w:tcPr>
          <w:p w14:paraId="412ABC14"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F7E19F1" w14:textId="4BDF02EF"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P</w:t>
            </w:r>
            <w:r w:rsidR="00877A35" w:rsidRPr="005B0B70">
              <w:rPr>
                <w:rFonts w:ascii="Cambria" w:eastAsia="Times New Roman" w:hAnsi="Cambria" w:cs="Times New Roman"/>
                <w:szCs w:val="20"/>
                <w:lang w:eastAsia="pl-PL"/>
              </w:rPr>
              <w:t>odwozie, nadwozie – zabezpieczenie</w:t>
            </w:r>
          </w:p>
          <w:p w14:paraId="43B601C0"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odporność na korozję</w:t>
            </w:r>
          </w:p>
        </w:tc>
        <w:tc>
          <w:tcPr>
            <w:tcW w:w="7882" w:type="dxa"/>
          </w:tcPr>
          <w:p w14:paraId="5F43DC20" w14:textId="35294A01" w:rsidR="009E66BE" w:rsidRPr="005B0B70" w:rsidRDefault="004A4217" w:rsidP="007962C9">
            <w:pPr>
              <w:pStyle w:val="Akapitzlist"/>
              <w:numPr>
                <w:ilvl w:val="0"/>
                <w:numId w:val="31"/>
              </w:numPr>
              <w:jc w:val="both"/>
              <w:rPr>
                <w:rFonts w:ascii="Cambria" w:hAnsi="Cambria"/>
                <w:sz w:val="22"/>
                <w:szCs w:val="22"/>
              </w:rPr>
            </w:pPr>
            <w:r w:rsidRPr="005B0B70">
              <w:rPr>
                <w:rFonts w:ascii="Cambria" w:hAnsi="Cambria"/>
                <w:sz w:val="22"/>
                <w:szCs w:val="22"/>
              </w:rPr>
              <w:t xml:space="preserve">zalecana </w:t>
            </w:r>
            <w:r w:rsidR="009E66BE" w:rsidRPr="005B0B70">
              <w:rPr>
                <w:rFonts w:ascii="Cambria" w:hAnsi="Cambria"/>
                <w:sz w:val="22"/>
                <w:szCs w:val="22"/>
              </w:rPr>
              <w:t>konstrukcja pojazdu spełniająca wymagania Regulaminu nr R66 EKG ONZ;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w:t>
            </w:r>
            <w:r w:rsidRPr="005B0B70">
              <w:rPr>
                <w:rFonts w:ascii="Cambria" w:hAnsi="Cambria"/>
                <w:sz w:val="22"/>
                <w:szCs w:val="22"/>
              </w:rPr>
              <w:t> </w:t>
            </w:r>
            <w:r w:rsidR="009E66BE" w:rsidRPr="005B0B70">
              <w:rPr>
                <w:rFonts w:ascii="Cambria" w:hAnsi="Cambria"/>
                <w:sz w:val="22"/>
                <w:szCs w:val="22"/>
              </w:rPr>
              <w:t>dnia 30 listopada 2011 r. z późniejszymi zmianami); jako dowód Wykonawca musi przedstawić homologację potwierdzającą spełnienie wymogów tego Regulaminu;</w:t>
            </w:r>
          </w:p>
          <w:p w14:paraId="4960B3C8" w14:textId="505D77AB" w:rsidR="009E66BE" w:rsidRPr="005B0B70" w:rsidRDefault="009E66BE" w:rsidP="007962C9">
            <w:pPr>
              <w:numPr>
                <w:ilvl w:val="0"/>
                <w:numId w:val="15"/>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lastRenderedPageBreak/>
              <w:t>zabezpieczone przeciw korozji w sposób zapewniający minimum dwunastoletni okres eksploatacji bez wykonywania napraw spowodowanych korozją</w:t>
            </w:r>
            <w:r w:rsidR="007962C9" w:rsidRPr="005B0B70">
              <w:rPr>
                <w:rFonts w:ascii="Cambria" w:eastAsia="Times New Roman" w:hAnsi="Cambria" w:cs="Times New Roman"/>
                <w:lang w:eastAsia="pl-PL"/>
              </w:rPr>
              <w:t>;</w:t>
            </w:r>
          </w:p>
          <w:p w14:paraId="1DDDD8AC" w14:textId="1447918C" w:rsidR="009E66BE" w:rsidRPr="005B0B70" w:rsidRDefault="009E66BE" w:rsidP="007962C9">
            <w:pPr>
              <w:numPr>
                <w:ilvl w:val="0"/>
                <w:numId w:val="15"/>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r w:rsidR="007962C9" w:rsidRPr="005B0B70">
              <w:rPr>
                <w:rFonts w:ascii="Cambria" w:eastAsia="Times New Roman" w:hAnsi="Cambria" w:cs="Times New Roman"/>
                <w:lang w:eastAsia="pl-PL"/>
              </w:rPr>
              <w:t>;</w:t>
            </w:r>
          </w:p>
          <w:p w14:paraId="62CE103B" w14:textId="77777777" w:rsidR="009E66BE" w:rsidRPr="005B0B70" w:rsidRDefault="009E66BE" w:rsidP="007962C9">
            <w:pPr>
              <w:numPr>
                <w:ilvl w:val="0"/>
                <w:numId w:val="15"/>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zalecenia wykonawcze w zakresie materiałów:</w:t>
            </w:r>
          </w:p>
          <w:p w14:paraId="165187CB" w14:textId="24BCBE35" w:rsidR="009E66BE" w:rsidRPr="005B0B70" w:rsidRDefault="009E66BE" w:rsidP="007962C9">
            <w:pPr>
              <w:numPr>
                <w:ilvl w:val="0"/>
                <w:numId w:val="11"/>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kratownica lub rama podwozia, szkielet nadwozia: stal nierdzewna lub stal konstrukcyjna niskostopowa o podwyższonej wytrzymałości zabezpieczona przed korozją w procesie elektroforezy</w:t>
            </w:r>
            <w:r w:rsidR="007962C9" w:rsidRPr="005B0B70">
              <w:rPr>
                <w:rFonts w:ascii="Cambria" w:eastAsia="Times New Roman" w:hAnsi="Cambria" w:cs="Times New Roman"/>
                <w:lang w:eastAsia="pl-PL"/>
              </w:rPr>
              <w:t>;</w:t>
            </w:r>
            <w:r w:rsidRPr="005B0B70">
              <w:rPr>
                <w:rFonts w:ascii="Cambria" w:eastAsia="Times New Roman" w:hAnsi="Cambria" w:cs="Times New Roman"/>
                <w:lang w:eastAsia="pl-PL"/>
              </w:rPr>
              <w:t xml:space="preserve"> </w:t>
            </w:r>
          </w:p>
          <w:p w14:paraId="50D340D9" w14:textId="77777777" w:rsidR="009E66BE" w:rsidRPr="005B0B70" w:rsidRDefault="009E66BE" w:rsidP="007962C9">
            <w:pPr>
              <w:numPr>
                <w:ilvl w:val="0"/>
                <w:numId w:val="12"/>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poszycia zewnętrzne boczne: stopy aluminium, stal obustronnie cynkowana lub stal nierdzewna, tworzywa sztuczne i materiały kompozytowe</w:t>
            </w:r>
          </w:p>
          <w:p w14:paraId="536BB752" w14:textId="77777777" w:rsidR="009E66BE" w:rsidRPr="005B0B70" w:rsidRDefault="009E66BE" w:rsidP="007962C9">
            <w:pPr>
              <w:numPr>
                <w:ilvl w:val="0"/>
                <w:numId w:val="12"/>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poszycia zewnętrzne ściany przedniej, tylnej, dachu: laminat na bazie tworzyw sztucznych, stopy aluminium</w:t>
            </w:r>
          </w:p>
          <w:p w14:paraId="6664B39B" w14:textId="5C5BC1B4" w:rsidR="009E66BE" w:rsidRPr="005B0B70" w:rsidRDefault="009E66BE" w:rsidP="007962C9">
            <w:pPr>
              <w:numPr>
                <w:ilvl w:val="0"/>
                <w:numId w:val="12"/>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nadkola, schowek akumulatorów: stal nierdzewna</w:t>
            </w:r>
            <w:r w:rsidR="007962C9" w:rsidRPr="005B0B70">
              <w:rPr>
                <w:rFonts w:ascii="Cambria" w:eastAsia="Times New Roman" w:hAnsi="Cambria" w:cs="Times New Roman"/>
                <w:lang w:eastAsia="pl-PL"/>
              </w:rPr>
              <w:t>;</w:t>
            </w:r>
          </w:p>
          <w:p w14:paraId="404B33F3" w14:textId="4722FFD1" w:rsidR="009E66BE" w:rsidRPr="005B0B70" w:rsidRDefault="009E66BE" w:rsidP="007962C9">
            <w:pPr>
              <w:numPr>
                <w:ilvl w:val="0"/>
                <w:numId w:val="12"/>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klapy schowków montażowych: stopy aluminium, stal nierdzewna</w:t>
            </w:r>
            <w:r w:rsidR="007962C9" w:rsidRPr="005B0B70">
              <w:rPr>
                <w:rFonts w:ascii="Cambria" w:eastAsia="Times New Roman" w:hAnsi="Cambria" w:cs="Times New Roman"/>
                <w:lang w:eastAsia="pl-PL"/>
              </w:rPr>
              <w:t>;</w:t>
            </w:r>
          </w:p>
          <w:p w14:paraId="2014C7AC" w14:textId="73213207" w:rsidR="009E66BE" w:rsidRPr="005B0B70" w:rsidRDefault="009E66BE" w:rsidP="007962C9">
            <w:pPr>
              <w:numPr>
                <w:ilvl w:val="0"/>
                <w:numId w:val="1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osłony dolne wykonane z materiału antykorozyjnego zabezpieczające osprzęt i instalacje umieszczone w podwoziu wraz z zabezpieczeniem części tylnej za II i III osią, przed dostawaniem się zanieczyszczeń drogowych;</w:t>
            </w:r>
          </w:p>
          <w:p w14:paraId="583CD585" w14:textId="5B891B9F" w:rsidR="009E66BE" w:rsidRPr="005B0B70" w:rsidRDefault="009E66BE" w:rsidP="007962C9">
            <w:pPr>
              <w:numPr>
                <w:ilvl w:val="0"/>
                <w:numId w:val="1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krawędzie wnęk kół, w płaszczyźnie bocznych ścian autobusu, wykończone trwałymi nakładkami ochronnymi, odpornymi na wodę, błoto, piach, kamienie itp. wyrzucane spod kół, w kolorze nadwozia lub kolorze czarnym; zalecane wyposażenie nakładek, w płaszczyźnie zewnętrznej, w dodatkową szczotkę ochronną;</w:t>
            </w:r>
          </w:p>
          <w:p w14:paraId="30D82676" w14:textId="34A4029B" w:rsidR="009E66BE" w:rsidRPr="005B0B70" w:rsidRDefault="009E66BE" w:rsidP="007962C9">
            <w:pPr>
              <w:numPr>
                <w:ilvl w:val="0"/>
                <w:numId w:val="1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wnęki kół wyposażone w osłony konstrukcji podwozia</w:t>
            </w:r>
            <w:r w:rsidR="00486B4D" w:rsidRPr="005B0B70">
              <w:rPr>
                <w:rFonts w:ascii="Cambria" w:eastAsia="Times New Roman" w:hAnsi="Cambria" w:cs="Times New Roman"/>
                <w:lang w:eastAsia="pl-PL"/>
              </w:rPr>
              <w:t xml:space="preserve">; </w:t>
            </w:r>
          </w:p>
          <w:p w14:paraId="2184DEBE" w14:textId="51151B83" w:rsidR="001D04C2" w:rsidRPr="005B0B70" w:rsidRDefault="009E66BE" w:rsidP="007962C9">
            <w:pPr>
              <w:numPr>
                <w:ilvl w:val="0"/>
                <w:numId w:val="6"/>
              </w:numPr>
              <w:spacing w:after="0" w:line="240" w:lineRule="auto"/>
              <w:ind w:left="304"/>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podwozie wyposażone w przewidziane wzmocnione miejsca instalacji podpór stałych oraz miejsca podnoszenia za pomocą podnośników stemplowych</w:t>
            </w:r>
            <w:r w:rsidR="007962C9" w:rsidRPr="005B0B70">
              <w:rPr>
                <w:rFonts w:ascii="Cambria" w:eastAsia="Times New Roman" w:hAnsi="Cambria" w:cs="Times New Roman"/>
                <w:szCs w:val="20"/>
                <w:lang w:eastAsia="pl-PL"/>
              </w:rPr>
              <w:t>;</w:t>
            </w:r>
          </w:p>
        </w:tc>
      </w:tr>
      <w:tr w:rsidR="005B0B70" w:rsidRPr="005B0B70" w14:paraId="70F8909D" w14:textId="77777777" w:rsidTr="008B1FA0">
        <w:tc>
          <w:tcPr>
            <w:tcW w:w="379" w:type="dxa"/>
          </w:tcPr>
          <w:p w14:paraId="26168DA6"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A44E834" w14:textId="6A1B59FF"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N</w:t>
            </w:r>
            <w:r w:rsidR="00877A35" w:rsidRPr="005B0B70">
              <w:rPr>
                <w:rFonts w:ascii="Cambria" w:eastAsia="Times New Roman" w:hAnsi="Cambria" w:cs="Times New Roman"/>
                <w:szCs w:val="20"/>
                <w:lang w:eastAsia="pl-PL"/>
              </w:rPr>
              <w:t>adwozie</w:t>
            </w:r>
          </w:p>
        </w:tc>
        <w:tc>
          <w:tcPr>
            <w:tcW w:w="7882" w:type="dxa"/>
          </w:tcPr>
          <w:p w14:paraId="508D027F" w14:textId="416C5EF3"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ściany boczne i dach izolowane cieplnie</w:t>
            </w:r>
            <w:r w:rsidR="009E66BE" w:rsidRPr="005B0B70">
              <w:rPr>
                <w:rFonts w:ascii="Cambria" w:eastAsia="Times New Roman" w:hAnsi="Cambria" w:cs="Times New Roman"/>
                <w:szCs w:val="20"/>
                <w:lang w:eastAsia="pl-PL"/>
              </w:rPr>
              <w:t>;</w:t>
            </w:r>
          </w:p>
          <w:p w14:paraId="4CA59E00" w14:textId="75835702"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wykładziny wewnętrzne łatwo zmywalne, odporne na „graffiti”</w:t>
            </w:r>
            <w:r w:rsidR="009E66BE" w:rsidRPr="005B0B70">
              <w:rPr>
                <w:rFonts w:ascii="Cambria" w:eastAsia="Times New Roman" w:hAnsi="Cambria" w:cs="Times New Roman"/>
                <w:szCs w:val="20"/>
                <w:lang w:eastAsia="pl-PL"/>
              </w:rPr>
              <w:t>;</w:t>
            </w:r>
          </w:p>
          <w:p w14:paraId="08AB3401" w14:textId="4AADD38C"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podłoga autobusu oraz elementy wykończenia progu drzwi wykonane w sposób umożliwiający samoczynny, grawitacyjny spływ wody</w:t>
            </w:r>
            <w:r w:rsidR="009E66BE" w:rsidRPr="005B0B70">
              <w:rPr>
                <w:rFonts w:ascii="Cambria" w:eastAsia="Times New Roman" w:hAnsi="Cambria" w:cs="Times New Roman"/>
                <w:szCs w:val="20"/>
                <w:lang w:eastAsia="pl-PL"/>
              </w:rPr>
              <w:t>;</w:t>
            </w:r>
          </w:p>
          <w:p w14:paraId="2AF6C136" w14:textId="09998A63"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podłoga pokryta gładką wykładziną antypoślizgową w tonacji ciemnej, deseń graficzny (możliwa kompozycja graficzna np. różnych odcieni szarości w połączeniu z innym kontrastowym kolorem), łatwą do sprzątania i mycia</w:t>
            </w:r>
            <w:r w:rsidR="009E66BE" w:rsidRPr="005B0B70">
              <w:rPr>
                <w:rFonts w:ascii="Cambria" w:eastAsia="Times New Roman" w:hAnsi="Cambria" w:cs="Times New Roman"/>
                <w:szCs w:val="20"/>
                <w:lang w:eastAsia="pl-PL"/>
              </w:rPr>
              <w:t>;</w:t>
            </w:r>
          </w:p>
          <w:p w14:paraId="575F0CF5" w14:textId="625EBA59"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 przednich drzwiach, pas o szerokości min. 300 mm od krawędzi progu i w strefie ruchu skrzydeł drzwi oraz w strefie ograniczania widoczności kierowcy przez pasażerów (od przodu autobusu </w:t>
            </w:r>
            <w:r w:rsidRPr="005B0B70">
              <w:rPr>
                <w:rFonts w:ascii="Cambria" w:eastAsia="Times New Roman" w:hAnsi="Cambria" w:cs="Times New Roman"/>
                <w:lang w:eastAsia="pl-PL"/>
              </w:rPr>
              <w:t xml:space="preserve">do ścianki działowej za I drzwiami i do końca kabiny kierowcy, lub co najmniej do tylnego słupka drzwi do kabiny kierowcy, zależnie od konstrukcji kabiny)  </w:t>
            </w:r>
            <w:r w:rsidRPr="005B0B70">
              <w:rPr>
                <w:rFonts w:ascii="Cambria" w:eastAsia="Times New Roman" w:hAnsi="Cambria" w:cs="Times New Roman"/>
                <w:szCs w:val="20"/>
                <w:lang w:eastAsia="pl-PL"/>
              </w:rPr>
              <w:t xml:space="preserve">– wykładzina w jaskrawym żółtym kolorze; w widocznym dla pasażerów miejscu umieszczony dodatkowo napis (piktogram) o zakazie przebywania w strefie ograniczania widoczności podczas jazdy autobusu; wielkość </w:t>
            </w:r>
            <w:r w:rsidRPr="005B0B70">
              <w:rPr>
                <w:rFonts w:ascii="Cambria" w:eastAsia="Times New Roman" w:hAnsi="Cambria" w:cs="Times New Roman"/>
                <w:lang w:eastAsia="pl-PL"/>
              </w:rPr>
              <w:t>wyznaczonej strefy</w:t>
            </w:r>
            <w:r w:rsidRPr="005B0B70">
              <w:rPr>
                <w:rFonts w:ascii="Cambria" w:eastAsia="Times New Roman" w:hAnsi="Cambria" w:cs="Times New Roman"/>
                <w:szCs w:val="20"/>
                <w:lang w:eastAsia="pl-PL"/>
              </w:rPr>
              <w:t xml:space="preserve"> ograniczania widoczności</w:t>
            </w:r>
            <w:r w:rsidRPr="005B0B70">
              <w:rPr>
                <w:rFonts w:ascii="Cambria" w:eastAsia="Times New Roman" w:hAnsi="Cambria" w:cs="Times New Roman"/>
                <w:lang w:eastAsia="pl-PL"/>
              </w:rPr>
              <w:t xml:space="preserve"> oraz miejsce i sposób umieszczenia dodatkowych informacji</w:t>
            </w:r>
            <w:r w:rsidRPr="005B0B70">
              <w:rPr>
                <w:rFonts w:ascii="Cambria" w:eastAsia="Times New Roman" w:hAnsi="Cambria" w:cs="Times New Roman"/>
                <w:szCs w:val="20"/>
                <w:lang w:eastAsia="pl-PL"/>
              </w:rPr>
              <w:t xml:space="preserve"> zostaną ustalone przy podpisywaniu Umowy lub na etapie produkcji pierwszej sztuki autobusu</w:t>
            </w:r>
            <w:r w:rsidR="009E66BE" w:rsidRPr="005B0B70">
              <w:rPr>
                <w:rFonts w:ascii="Cambria" w:eastAsia="Times New Roman" w:hAnsi="Cambria" w:cs="Times New Roman"/>
                <w:szCs w:val="20"/>
                <w:lang w:eastAsia="pl-PL"/>
              </w:rPr>
              <w:t>;</w:t>
            </w:r>
          </w:p>
          <w:p w14:paraId="7480F2C2" w14:textId="671FE5FC"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przy pozostałych drzwiach, pas o szerokości min. 300 mm od krawędzi progu oraz w strefie ruchu skrzydeł drzwi – wykładzina w jaskrawym żółtym kolorze</w:t>
            </w:r>
            <w:r w:rsidR="009E66BE" w:rsidRPr="005B0B70">
              <w:rPr>
                <w:rFonts w:ascii="Cambria" w:eastAsia="Times New Roman" w:hAnsi="Cambria" w:cs="Times New Roman"/>
                <w:szCs w:val="20"/>
                <w:lang w:eastAsia="pl-PL"/>
              </w:rPr>
              <w:t>;</w:t>
            </w:r>
            <w:r w:rsidRPr="005B0B70">
              <w:rPr>
                <w:rFonts w:ascii="Cambria" w:eastAsia="Times New Roman" w:hAnsi="Cambria" w:cs="Times New Roman"/>
                <w:szCs w:val="20"/>
                <w:lang w:eastAsia="pl-PL"/>
              </w:rPr>
              <w:t xml:space="preserve"> </w:t>
            </w:r>
          </w:p>
          <w:p w14:paraId="11EE01ED" w14:textId="4DC6E5D7"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miejscach wyznaczonych na wózek inwalidzki i wózek dziecięcy wykładzina podłogi w kolorze ciemno-niebieskim (np. RAL 5017 lub zbliżony)</w:t>
            </w:r>
            <w:r w:rsidR="009E66BE" w:rsidRPr="005B0B70">
              <w:rPr>
                <w:rFonts w:ascii="Cambria" w:eastAsia="Times New Roman" w:hAnsi="Cambria" w:cs="Times New Roman"/>
                <w:szCs w:val="20"/>
                <w:lang w:eastAsia="pl-PL"/>
              </w:rPr>
              <w:t>;</w:t>
            </w:r>
          </w:p>
          <w:p w14:paraId="72CCA7E7" w14:textId="626C3528"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przy drzwiach zamontowane ścianki działowe tzw. wiatrochrony, oddzielające miejsca pasażerskie od strefy drzwi, zamontowane za drzwiami pierwszymi i </w:t>
            </w:r>
            <w:r w:rsidRPr="005B0B70">
              <w:rPr>
                <w:rFonts w:ascii="Cambria" w:eastAsia="Times New Roman" w:hAnsi="Cambria" w:cs="Times New Roman"/>
                <w:szCs w:val="20"/>
                <w:lang w:eastAsia="pl-PL"/>
              </w:rPr>
              <w:lastRenderedPageBreak/>
              <w:t xml:space="preserve">kolejnymi oraz przed drzwiami trzecimi; wiatrochrony nie montowane za drzwiami ostatnimi, jeżeli za drzwiami ostatnimi nie zostały umieszczone miejsca pasażerskie, wykonane ze szkła (bezpiecznego, nie dającego ostrych odprysków w przypadku stłuczenia); z możliwością wykonania części poniżej dolnej linii okien bocznych jako matowej; wysokość minimalna 1700 mm licząc od poziomu podłogi autobusu; </w:t>
            </w:r>
            <w:r w:rsidRPr="005B0B70">
              <w:rPr>
                <w:rFonts w:ascii="Cambria" w:eastAsia="Times New Roman" w:hAnsi="Cambria" w:cs="Times New Roman"/>
                <w:lang w:eastAsia="pl-PL"/>
              </w:rPr>
              <w:t xml:space="preserve">dopuszcza się jednostronne obniżenie wysokości do nie mniej niż 1550 mm, jeżeli wymaga tego sposób otwierania osłon nadokiennych; </w:t>
            </w:r>
            <w:r w:rsidRPr="005B0B70">
              <w:rPr>
                <w:rFonts w:ascii="Cambria" w:eastAsia="Times New Roman" w:hAnsi="Cambria" w:cs="Times New Roman"/>
                <w:szCs w:val="20"/>
                <w:lang w:eastAsia="pl-PL"/>
              </w:rPr>
              <w:t>wysokość zalecana: od poziomu podłogi (podestu) do górnej krawędzi skrzydła drzwi, przy uwzględnieniu indywidualnych uwarunkowań wynikających z przyjętych rozwiązań konstrukcyjnych i stylizacyjnych; wykonanie bez szczeliny pomiędzy ścianką działową a ścianą boczną (ościeżnicą drzwi) oraz bez szczeliny pomiędzy elementami ścianki (przy wykonaniu z podziałem poziomym na elementy); dolna krawędź ścianki bezpośrednio nad poziomem podłogi lub podestu, dopuszczalna szczelina nie większa niż 50 mm (dopuszczalna  szczelina większa niż 50 mm wyłącznie w sytuacji, gdy jest ona wykorzystywana do nadmuchu powietrza z nagrzewnicy w przestrzeń przy drzwiach; wykonanie i mocowanie ścianek odporne na akty wandalizmu</w:t>
            </w:r>
            <w:r w:rsidR="009E66BE" w:rsidRPr="005B0B70">
              <w:rPr>
                <w:rFonts w:ascii="Cambria" w:eastAsia="Times New Roman" w:hAnsi="Cambria" w:cs="Times New Roman"/>
                <w:szCs w:val="20"/>
                <w:lang w:eastAsia="pl-PL"/>
              </w:rPr>
              <w:t>;</w:t>
            </w:r>
          </w:p>
          <w:p w14:paraId="30523BB6" w14:textId="7433AAFF"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wszystkie klapy obsługowe usytuowane wewnątrz, w strefie nad oknami, wyposażone w zamki zamykane (otwierane) jednym kluczem np. typu kwadrat</w:t>
            </w:r>
            <w:r w:rsidR="009E66BE" w:rsidRPr="005B0B70">
              <w:rPr>
                <w:rFonts w:ascii="Cambria" w:eastAsia="Times New Roman" w:hAnsi="Cambria" w:cs="Times New Roman"/>
                <w:szCs w:val="20"/>
                <w:lang w:eastAsia="pl-PL"/>
              </w:rPr>
              <w:t>;</w:t>
            </w:r>
          </w:p>
          <w:p w14:paraId="5DC97315" w14:textId="5404DA18" w:rsidR="00877A35" w:rsidRPr="005B0B70" w:rsidRDefault="00877A35"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klapa obsługowa (rewizyjna) w platformie mechanizmu przegubu (jeżeli wymagany jest dostęp do mechanizmu przegubu w czasie przeglądów), </w:t>
            </w:r>
            <w:r w:rsidR="001D04C2" w:rsidRPr="005B0B70">
              <w:rPr>
                <w:rFonts w:ascii="Cambria" w:eastAsia="Times New Roman" w:hAnsi="Cambria" w:cs="Times New Roman"/>
                <w:szCs w:val="20"/>
                <w:lang w:eastAsia="pl-PL"/>
              </w:rPr>
              <w:t xml:space="preserve">zapewniająca łatwość dostępu do urządzeń przegubu w trakcie przeglądów tzw. duża klapa obsługowa </w:t>
            </w:r>
            <w:r w:rsidRPr="005B0B70">
              <w:rPr>
                <w:rFonts w:ascii="Cambria" w:eastAsia="Times New Roman" w:hAnsi="Cambria" w:cs="Times New Roman"/>
                <w:szCs w:val="20"/>
                <w:lang w:eastAsia="pl-PL"/>
              </w:rPr>
              <w:t>o wymiarach nie</w:t>
            </w:r>
            <w:r w:rsidR="009E66BE" w:rsidRPr="005B0B70">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mniejszych niż 1200 x 600mm, wykonana i zamocowana w sposób umożliwiający łatwy montaż i demontaż</w:t>
            </w:r>
            <w:r w:rsidR="009E66BE" w:rsidRPr="005B0B70">
              <w:rPr>
                <w:rFonts w:ascii="Cambria" w:eastAsia="Times New Roman" w:hAnsi="Cambria" w:cs="Times New Roman"/>
                <w:szCs w:val="20"/>
                <w:lang w:eastAsia="pl-PL"/>
              </w:rPr>
              <w:t>;</w:t>
            </w:r>
          </w:p>
          <w:p w14:paraId="72B2185A"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poręcze pionowe (słupki) mocowane do podłogi, w dolnej części do około 450 mm od podłogi, wykonane z dodatkowym trwałym zabezpieczeniem przed korozją, wystarczającym na cały okres gwarancji udzielonej na nadwozie (dopuszcza się wykonanie łączone z elementami wykonanymi ze stali nierdzewnej bez lakierowania); poręcze mocowane do podestów powinny posiadać takie zabezpieczenie do wysokości około 100 mm od powierzchni podestu;</w:t>
            </w:r>
          </w:p>
          <w:p w14:paraId="355D3B58"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poręcze poziome wyposażone, maksymalnie w miarę możliwości, w uchwyty wiszące do trzymania się dla pasażerów stojących, wykonane jako elastyczne i bezpieczne dla pasażerów, w kolorze żółtym RAL 1004 lub zbliżonym, zamontowane w sposób wykluczający przesuwanie się ich na poręczach podczas jazdy;</w:t>
            </w:r>
          </w:p>
          <w:p w14:paraId="54BA622E"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przestrzeni przy II drzwiach przeznaczonej dla pasażerów stojących oraz na wózek inwalidzki i wózek dziecięcy nie może być żadnych poręczy pionowych (słupków) zamontowanych na podłodze i ograniczających manewrowanie wózkiem inwalidzkim;</w:t>
            </w:r>
          </w:p>
          <w:p w14:paraId="0D5555EE"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p>
          <w:p w14:paraId="1DCE4F6C"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obrębie miejsc siedzących, przed którymi nie znajdują się inne miejsca siedzące, zwrócone w tym samym kierunku i posiadające poręcz umożliwiającą przytrzymanie się przy wstawaniu, zamontowane poręcze lub uchwyty na ścianie bocznej lub innych elementach zabudowy wnętrza autobusu oraz uchwyty wiszące, ułatwiające opuszczenie miejsca siedzącego;</w:t>
            </w:r>
          </w:p>
          <w:p w14:paraId="0EC9B269"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 pierwszych drzwiach, w części przeznaczonej dla pasażerów zastosowana dodatkowa poręcz na środkowej ściance dzielącej wejście na części; szerokość wejścia dla pasażerów minimum 550 mm;</w:t>
            </w:r>
          </w:p>
          <w:p w14:paraId="6ACE2741"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 xml:space="preserve">przy drzwiach otwieranych na zewnątrz po stronie ścianki działowej dwie ukośne poręcze, przy czym wyższa powinna być zamontowana tak, aby punkt mocowania po stronie drzwi znajdował się na wysokości 1100 mm (z tolerancją ±50 mm), dolna na wysokości 700 ± 50 mm; po drugiej stronie należy zamontować poręcz pionową umieszczoną minimum na wysokości od 800 mm do 1600 mm, przy czym punkty mocujące poręcz mogą wykraczać poza ten przedział, wszystkie wysokości mierzone od podłogi autobusu; </w:t>
            </w:r>
          </w:p>
          <w:p w14:paraId="01C4E2E6"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konstrukcja i mocowanie wszystkich poręczy i uchwytów wykonane w sposób bezpieczny dla pasażerów, wykluczający przypadkowe uszkodzenie ciała itp.;</w:t>
            </w:r>
          </w:p>
          <w:p w14:paraId="794155D0"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krawędzie stopni wejściowych w drzwiach oraz krawędzie podłogi (podestów pod miejscami siedzącymi wraz ze stopniami pośrednimi oraz podestu na stanowisku kierowcy) wykończone profilami (nakładkami) przeciwpoślizgowymi, co najmniej w miejscach ruchu pasażerów w kolorze jaskrawym żółtym i czarnym, naprzemiennie w formie trójkątów, równoległoboków lub prostokątów, w pozostałych miejscach w kolorze jaskrawym żółtym; wszystkie pozostałe krawędzie zabudowy nadwozia (nadkoli itp.) oznaczone jaskra</w:t>
            </w:r>
            <w:r w:rsidRPr="005B0B70">
              <w:rPr>
                <w:rFonts w:ascii="Cambria" w:eastAsia="Times New Roman" w:hAnsi="Cambria" w:cs="Times New Roman"/>
                <w:szCs w:val="20"/>
                <w:lang w:eastAsia="pl-PL"/>
              </w:rPr>
              <w:softHyphen/>
              <w:t>wym kolorem żółtym;</w:t>
            </w:r>
          </w:p>
          <w:p w14:paraId="5A85F89C"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opcjonalnie – zaleca się aby elementy ściany przedniej i tylnej pełniące funkcję zderzaków, o ile takie występują, zostały wyposażone w estetyczne nakładki elastyczne obejmujące również narożniki autobusu, wykonane z gumy lub tworzywa (nie lakierowane), montowane na nity, wkręty, przyklejane itp., zabezpieczające przed drobnymi uszkodzeniami (pęknięcia, zarysowania itp.); sposób wykonania i umieszczenia nakładek zostanie uzgodniony przed podpisaniem Umowy lub przy produkcji pierwszej sztuki autobusu </w:t>
            </w:r>
          </w:p>
          <w:p w14:paraId="609F66BD"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 się wykonanie nadwozia przy zastosowaniu technologii o dużej podatności do wykonywania napraw powypadkowych;</w:t>
            </w:r>
          </w:p>
          <w:p w14:paraId="2A7F4EA3" w14:textId="5E355A58" w:rsidR="00877A35" w:rsidRPr="005B0B70" w:rsidRDefault="007962C9" w:rsidP="007962C9">
            <w:pPr>
              <w:numPr>
                <w:ilvl w:val="0"/>
                <w:numId w:val="6"/>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sposób wykonania poszyć ścian bocznych nadwozia, w tym zastosowany podział pionowy poszyć w pasie podokiennym oraz zastosowany sposób podziału szyby przedniej, będzie uwzględniony przy ocenie ofert zgodnie z Rozdziałem 18 SWZ, kryterium oceny ofert „podatność do napraw powypadkowych”;</w:t>
            </w:r>
          </w:p>
        </w:tc>
      </w:tr>
      <w:tr w:rsidR="005B0B70" w:rsidRPr="005B0B70" w14:paraId="5C56BDAB" w14:textId="77777777" w:rsidTr="008B1FA0">
        <w:tc>
          <w:tcPr>
            <w:tcW w:w="379" w:type="dxa"/>
          </w:tcPr>
          <w:p w14:paraId="0AD0C93B"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06C48905" w14:textId="7AF72B6F"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Zaawansowane systemy wspomagania kierowcy, systemy cyberbezpieczeństwa</w:t>
            </w:r>
          </w:p>
        </w:tc>
        <w:tc>
          <w:tcPr>
            <w:tcW w:w="7882" w:type="dxa"/>
          </w:tcPr>
          <w:p w14:paraId="58B581A7"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pojazd wyposażony w obowiązujące dla pojazdów M3 zaawansowane systemy wspomagania kierowcy (ADAS </w:t>
            </w:r>
            <w:r w:rsidRPr="005B0B70">
              <w:rPr>
                <w:rFonts w:ascii="Cambria" w:eastAsia="Times New Roman" w:hAnsi="Cambria" w:cs="Times New Roman"/>
                <w:i/>
                <w:iCs/>
                <w:szCs w:val="20"/>
                <w:lang w:eastAsia="pl-PL"/>
              </w:rPr>
              <w:t>– Advanced Driver Assistance Systems</w:t>
            </w:r>
            <w:r w:rsidRPr="005B0B70">
              <w:rPr>
                <w:rFonts w:ascii="Cambria" w:eastAsia="Times New Roman" w:hAnsi="Cambria" w:cs="Times New Roman"/>
                <w:szCs w:val="20"/>
                <w:lang w:eastAsia="pl-PL"/>
              </w:rPr>
              <w:t>) zgodne z Rozporządzeniem Parlamentu Europejskiego i Rady (UE) 2019/2144, z późniejszymi zmianami, w tym: MOIS (</w:t>
            </w:r>
            <w:r w:rsidRPr="005B0B70">
              <w:rPr>
                <w:rFonts w:ascii="Cambria" w:eastAsia="Times New Roman" w:hAnsi="Cambria" w:cs="Times New Roman"/>
                <w:i/>
                <w:iCs/>
                <w:szCs w:val="20"/>
                <w:lang w:eastAsia="pl-PL"/>
              </w:rPr>
              <w:t>Moving Off Information system</w:t>
            </w:r>
            <w:r w:rsidRPr="005B0B70">
              <w:rPr>
                <w:rFonts w:ascii="Cambria" w:eastAsia="Times New Roman" w:hAnsi="Cambria" w:cs="Times New Roman"/>
                <w:szCs w:val="20"/>
                <w:lang w:eastAsia="pl-PL"/>
              </w:rPr>
              <w:t>), BSIS (</w:t>
            </w:r>
            <w:r w:rsidRPr="005B0B70">
              <w:rPr>
                <w:rFonts w:ascii="Cambria" w:eastAsia="Times New Roman" w:hAnsi="Cambria" w:cs="Times New Roman"/>
                <w:i/>
                <w:iCs/>
                <w:szCs w:val="20"/>
                <w:lang w:eastAsia="pl-PL"/>
              </w:rPr>
              <w:t>Blind Spot Information System</w:t>
            </w:r>
            <w:r w:rsidRPr="005B0B70">
              <w:rPr>
                <w:rFonts w:ascii="Cambria" w:eastAsia="Times New Roman" w:hAnsi="Cambria" w:cs="Times New Roman"/>
                <w:szCs w:val="20"/>
                <w:lang w:eastAsia="pl-PL"/>
              </w:rPr>
              <w:t>) REIS (Reversing Information System), ISA (</w:t>
            </w:r>
            <w:r w:rsidRPr="005B0B70">
              <w:rPr>
                <w:rFonts w:ascii="Cambria" w:eastAsia="Times New Roman" w:hAnsi="Cambria" w:cs="Times New Roman"/>
                <w:i/>
                <w:iCs/>
                <w:szCs w:val="20"/>
                <w:lang w:eastAsia="pl-PL"/>
              </w:rPr>
              <w:t>Intelligent Speed Assist</w:t>
            </w:r>
            <w:r w:rsidRPr="005B0B70">
              <w:rPr>
                <w:rFonts w:ascii="Cambria" w:eastAsia="Times New Roman" w:hAnsi="Cambria" w:cs="Times New Roman"/>
                <w:szCs w:val="20"/>
                <w:lang w:eastAsia="pl-PL"/>
              </w:rPr>
              <w:t>), DDAW (</w:t>
            </w:r>
            <w:r w:rsidRPr="005B0B70">
              <w:rPr>
                <w:rFonts w:ascii="Cambria" w:eastAsia="Times New Roman" w:hAnsi="Cambria" w:cs="Times New Roman"/>
                <w:i/>
                <w:iCs/>
                <w:szCs w:val="20"/>
                <w:lang w:eastAsia="pl-PL"/>
              </w:rPr>
              <w:t>Driver Drowsiness And Alerntess Warning</w:t>
            </w:r>
            <w:r w:rsidRPr="005B0B70">
              <w:rPr>
                <w:rFonts w:ascii="Cambria" w:eastAsia="Times New Roman" w:hAnsi="Cambria" w:cs="Times New Roman"/>
                <w:szCs w:val="20"/>
                <w:lang w:eastAsia="pl-PL"/>
              </w:rPr>
              <w:t>), TPMS (</w:t>
            </w:r>
            <w:r w:rsidRPr="005B0B70">
              <w:rPr>
                <w:rFonts w:ascii="Cambria" w:eastAsia="Times New Roman" w:hAnsi="Cambria" w:cs="Times New Roman"/>
                <w:i/>
                <w:iCs/>
                <w:szCs w:val="20"/>
                <w:lang w:eastAsia="pl-PL"/>
              </w:rPr>
              <w:t>Tyre Pressure Monitoring System</w:t>
            </w:r>
            <w:r w:rsidRPr="005B0B70">
              <w:rPr>
                <w:rFonts w:ascii="Cambria" w:eastAsia="Times New Roman" w:hAnsi="Cambria" w:cs="Times New Roman"/>
                <w:szCs w:val="20"/>
                <w:lang w:eastAsia="pl-PL"/>
              </w:rPr>
              <w:t>);</w:t>
            </w:r>
          </w:p>
          <w:p w14:paraId="463BC719" w14:textId="77777777" w:rsidR="007962C9" w:rsidRPr="005B0B70" w:rsidRDefault="007962C9" w:rsidP="007962C9">
            <w:pPr>
              <w:numPr>
                <w:ilvl w:val="0"/>
                <w:numId w:val="14"/>
              </w:numPr>
              <w:spacing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zgodne z Regulaminami EKG ONZ nr 155 i nr 156, a także Rozporządzeniem    Parlamentu Europejskiego i Rady (UE) 2019/2144 (GSR2);</w:t>
            </w:r>
            <w:r w:rsidRPr="005B0B70">
              <w:rPr>
                <w:rFonts w:ascii="Fira Sans" w:hAnsi="Fira Sans"/>
                <w:sz w:val="27"/>
                <w:szCs w:val="27"/>
                <w:shd w:val="clear" w:color="auto" w:fill="FFFFFF"/>
              </w:rPr>
              <w:t> </w:t>
            </w:r>
          </w:p>
          <w:p w14:paraId="7E51E557"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zalecany montaż urządzeń w sposób niezakłócający pracy kierowcy oraz nieograniczający jego pola widzenia;</w:t>
            </w:r>
          </w:p>
          <w:p w14:paraId="26D843F3"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dopuszcza się integrację z Urządzeniami Systemu Monitoringu Wizyjnego i systemem lusterek cyfrowych/wirtualnych; </w:t>
            </w:r>
          </w:p>
          <w:p w14:paraId="51B3992B"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wymagana możliwość regulacji natężenia sygnałów świetlnych i dźwiękowych oraz wyłączenia wszystkich systemów. Zalecana możliwość wyłączenia każdego z systemów osobno;</w:t>
            </w:r>
          </w:p>
          <w:p w14:paraId="6C9343E1" w14:textId="77777777"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wykonawca przedstawi dokumentację ww. systemów przed dostawą pierwszej partii autobusów;</w:t>
            </w:r>
          </w:p>
          <w:p w14:paraId="3E8A57CA" w14:textId="689FF4CA" w:rsidR="007962C9" w:rsidRPr="005B0B70" w:rsidRDefault="007962C9" w:rsidP="007962C9">
            <w:pPr>
              <w:numPr>
                <w:ilvl w:val="0"/>
                <w:numId w:val="1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wykonawca w okresie gwarancji całopojazdowej zapewni kalibrację wszystkich elementów systemu w razie wymagań czy rozkalibrowania (kamery, czujniki itp.);</w:t>
            </w:r>
          </w:p>
        </w:tc>
      </w:tr>
      <w:tr w:rsidR="005B0B70" w:rsidRPr="005B0B70" w14:paraId="70F10EEA" w14:textId="77777777" w:rsidTr="008B1FA0">
        <w:tc>
          <w:tcPr>
            <w:tcW w:w="379" w:type="dxa"/>
          </w:tcPr>
          <w:p w14:paraId="06B7286F"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B96DF99" w14:textId="7578F888"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ystem informacji liniowej i pasażerskiej – tablice kierunkowe zewnętrzne, wewnętrzne, zliczanie pasażerów</w:t>
            </w:r>
          </w:p>
        </w:tc>
        <w:tc>
          <w:tcPr>
            <w:tcW w:w="7882" w:type="dxa"/>
          </w:tcPr>
          <w:p w14:paraId="7B4E4525" w14:textId="44E7985C"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szczegółowy opis wymagań dotyczących zamontowania w autobusach systemu informacji liniowej i pasażerskiej przedstawiony został w załączniku nr </w:t>
            </w:r>
            <w:r w:rsidR="00A424A4" w:rsidRPr="005B0B70">
              <w:rPr>
                <w:rFonts w:ascii="Cambria" w:eastAsia="Times New Roman" w:hAnsi="Cambria" w:cs="Times New Roman"/>
                <w:szCs w:val="20"/>
                <w:lang w:eastAsia="pl-PL"/>
              </w:rPr>
              <w:t>1.5.2</w:t>
            </w:r>
            <w:r w:rsidRPr="005B0B70">
              <w:rPr>
                <w:rFonts w:ascii="Cambria" w:eastAsia="Times New Roman" w:hAnsi="Cambria" w:cs="Times New Roman"/>
                <w:szCs w:val="20"/>
                <w:lang w:eastAsia="pl-PL"/>
              </w:rPr>
              <w:t xml:space="preserve"> do SWZ;</w:t>
            </w:r>
          </w:p>
          <w:p w14:paraId="04BF9EE5"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Zamawiający wymaga, aby zastosowany system posiadał możliwość skutecznego działania w zakresie wymiany (pobierania i przekazywania) danych z systemami informatycznymi stosowanymi przez Zarząd Transportu Miejskiego w Warszawie, wymagana aktualność na dzień składania ofert;</w:t>
            </w:r>
          </w:p>
          <w:p w14:paraId="18863D79" w14:textId="463F73CF" w:rsidR="00877A35" w:rsidRPr="005B0B70" w:rsidRDefault="007962C9" w:rsidP="007962C9">
            <w:pPr>
              <w:numPr>
                <w:ilvl w:val="0"/>
                <w:numId w:val="6"/>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Zalecane jest, aby dostawca systemu posiadał doświadczenie we wdrażaniu podobnego kompleksowego systemu łącznie z aplikacją WWW;</w:t>
            </w:r>
          </w:p>
        </w:tc>
      </w:tr>
      <w:tr w:rsidR="005B0B70" w:rsidRPr="005B0B70" w14:paraId="479B7926" w14:textId="77777777" w:rsidTr="008B1FA0">
        <w:trPr>
          <w:cantSplit/>
        </w:trPr>
        <w:tc>
          <w:tcPr>
            <w:tcW w:w="379" w:type="dxa"/>
          </w:tcPr>
          <w:p w14:paraId="6AD61D8B"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3338451F" w14:textId="7A648DF4" w:rsidR="00877A35" w:rsidRPr="005B0B70" w:rsidRDefault="009E2BA4" w:rsidP="00877A35">
            <w:pPr>
              <w:spacing w:after="0" w:line="240" w:lineRule="auto"/>
              <w:rPr>
                <w:rFonts w:ascii="Cambria" w:eastAsia="Times New Roman" w:hAnsi="Cambria" w:cs="Times New Roman"/>
                <w:bCs/>
                <w:szCs w:val="18"/>
                <w:lang w:eastAsia="pl-PL"/>
              </w:rPr>
            </w:pPr>
            <w:r w:rsidRPr="005B0B70">
              <w:rPr>
                <w:rFonts w:ascii="Cambria" w:eastAsia="Times New Roman" w:hAnsi="Cambria" w:cs="Times New Roman"/>
                <w:bCs/>
                <w:szCs w:val="18"/>
                <w:lang w:eastAsia="pl-PL"/>
              </w:rPr>
              <w:t>S</w:t>
            </w:r>
            <w:r w:rsidR="00877A35" w:rsidRPr="005B0B70">
              <w:rPr>
                <w:rFonts w:ascii="Cambria" w:eastAsia="Times New Roman" w:hAnsi="Cambria" w:cs="Times New Roman"/>
                <w:bCs/>
                <w:szCs w:val="18"/>
                <w:lang w:eastAsia="pl-PL"/>
              </w:rPr>
              <w:t>ystem wizualizacji reklam i ogłoszeń</w:t>
            </w:r>
          </w:p>
        </w:tc>
        <w:tc>
          <w:tcPr>
            <w:tcW w:w="7882" w:type="dxa"/>
          </w:tcPr>
          <w:p w14:paraId="10C09832" w14:textId="62470A91" w:rsidR="00877A35" w:rsidRPr="005B0B70" w:rsidRDefault="00877A35" w:rsidP="007962C9">
            <w:pPr>
              <w:pStyle w:val="Akapitzlist"/>
              <w:numPr>
                <w:ilvl w:val="0"/>
                <w:numId w:val="6"/>
              </w:numPr>
              <w:jc w:val="both"/>
              <w:rPr>
                <w:rFonts w:ascii="Cambria" w:hAnsi="Cambria"/>
                <w:sz w:val="22"/>
                <w:szCs w:val="22"/>
              </w:rPr>
            </w:pPr>
            <w:r w:rsidRPr="005B0B70">
              <w:rPr>
                <w:rFonts w:ascii="Cambria" w:hAnsi="Cambria"/>
                <w:sz w:val="22"/>
                <w:szCs w:val="22"/>
              </w:rPr>
              <w:t xml:space="preserve">szczegółowy opis wymagań dotyczących zamontowania w autobusach systemu </w:t>
            </w:r>
            <w:r w:rsidRPr="005B0B70">
              <w:rPr>
                <w:rFonts w:ascii="Cambria" w:hAnsi="Cambria"/>
                <w:bCs/>
                <w:sz w:val="22"/>
                <w:szCs w:val="22"/>
              </w:rPr>
              <w:t>wizualizacji reklam i ogłoszeń</w:t>
            </w:r>
            <w:r w:rsidRPr="005B0B70">
              <w:rPr>
                <w:rFonts w:ascii="Cambria" w:hAnsi="Cambria"/>
                <w:sz w:val="22"/>
                <w:szCs w:val="22"/>
              </w:rPr>
              <w:t xml:space="preserve"> przedstawiony został w załączniku nr </w:t>
            </w:r>
            <w:r w:rsidR="00A424A4" w:rsidRPr="005B0B70">
              <w:rPr>
                <w:rFonts w:ascii="Cambria" w:hAnsi="Cambria"/>
                <w:sz w:val="22"/>
                <w:szCs w:val="22"/>
              </w:rPr>
              <w:t>1.5.2</w:t>
            </w:r>
            <w:r w:rsidRPr="005B0B70">
              <w:rPr>
                <w:rFonts w:ascii="Cambria" w:hAnsi="Cambria"/>
                <w:sz w:val="22"/>
                <w:szCs w:val="22"/>
              </w:rPr>
              <w:t xml:space="preserve"> do SWZ.</w:t>
            </w:r>
          </w:p>
        </w:tc>
      </w:tr>
      <w:tr w:rsidR="005B0B70" w:rsidRPr="005B0B70" w14:paraId="6044AF0B" w14:textId="77777777" w:rsidTr="008B1FA0">
        <w:tc>
          <w:tcPr>
            <w:tcW w:w="379" w:type="dxa"/>
          </w:tcPr>
          <w:p w14:paraId="32838F7B"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7C243201" w14:textId="60A5891D"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ystem monitoringu wizyjnego</w:t>
            </w:r>
          </w:p>
        </w:tc>
        <w:tc>
          <w:tcPr>
            <w:tcW w:w="7882" w:type="dxa"/>
          </w:tcPr>
          <w:p w14:paraId="7B8A88E4" w14:textId="2BF66A6F" w:rsidR="007962C9" w:rsidRPr="005B0B70" w:rsidRDefault="007962C9" w:rsidP="007962C9">
            <w:pPr>
              <w:numPr>
                <w:ilvl w:val="0"/>
                <w:numId w:val="6"/>
              </w:numPr>
              <w:spacing w:after="0" w:line="240" w:lineRule="auto"/>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szczegółowy opis wymagań dotyczących zamontowania w autobusach systemu monitoringu wizyjnego przedstawiony został w załączniku nr </w:t>
            </w:r>
            <w:r w:rsidR="00A424A4" w:rsidRPr="005B0B70">
              <w:rPr>
                <w:rFonts w:ascii="Cambria" w:eastAsia="Times New Roman" w:hAnsi="Cambria" w:cs="Times New Roman"/>
                <w:lang w:eastAsia="pl-PL"/>
              </w:rPr>
              <w:t>1.5.2</w:t>
            </w:r>
            <w:r w:rsidRPr="005B0B70">
              <w:rPr>
                <w:rFonts w:ascii="Cambria" w:eastAsia="Times New Roman" w:hAnsi="Cambria" w:cs="Times New Roman"/>
                <w:lang w:eastAsia="pl-PL"/>
              </w:rPr>
              <w:t xml:space="preserve"> do SWZ;</w:t>
            </w:r>
          </w:p>
          <w:p w14:paraId="139F45C7" w14:textId="0CB27CEE" w:rsidR="00877A35" w:rsidRPr="005B0B70" w:rsidRDefault="007962C9" w:rsidP="007962C9">
            <w:pPr>
              <w:pStyle w:val="Akapitzlist"/>
              <w:numPr>
                <w:ilvl w:val="0"/>
                <w:numId w:val="6"/>
              </w:numPr>
              <w:rPr>
                <w:rFonts w:ascii="Cambria" w:hAnsi="Cambria"/>
                <w:sz w:val="22"/>
                <w:szCs w:val="22"/>
              </w:rPr>
            </w:pPr>
            <w:r w:rsidRPr="005B0B70">
              <w:rPr>
                <w:rFonts w:ascii="Cambria" w:hAnsi="Cambria"/>
                <w:sz w:val="22"/>
                <w:szCs w:val="22"/>
              </w:rPr>
              <w:t>Zamawiający wymaga przedstawienia w trybie roboczym po podpisaniu Umowy, przed odbiorami pierwszych pojazdów, schematu rozmieszczenia kamer w pojeździe i ich pola widzenia;</w:t>
            </w:r>
          </w:p>
        </w:tc>
      </w:tr>
      <w:tr w:rsidR="005B0B70" w:rsidRPr="005B0B70" w14:paraId="67AD3C15" w14:textId="77777777" w:rsidTr="008B1FA0">
        <w:trPr>
          <w:cantSplit/>
        </w:trPr>
        <w:tc>
          <w:tcPr>
            <w:tcW w:w="379" w:type="dxa"/>
          </w:tcPr>
          <w:p w14:paraId="45FC2B56"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7617631F" w14:textId="589EADB2"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System telemetrii pojazdu i lokalizacji pojazdu</w:t>
            </w:r>
          </w:p>
        </w:tc>
        <w:tc>
          <w:tcPr>
            <w:tcW w:w="7882" w:type="dxa"/>
          </w:tcPr>
          <w:p w14:paraId="7A429724" w14:textId="7703699A" w:rsidR="007962C9" w:rsidRPr="005B0B70" w:rsidRDefault="007962C9" w:rsidP="007962C9">
            <w:pPr>
              <w:pStyle w:val="Akapitzlist"/>
              <w:numPr>
                <w:ilvl w:val="0"/>
                <w:numId w:val="6"/>
              </w:numPr>
              <w:jc w:val="both"/>
              <w:rPr>
                <w:rFonts w:ascii="Cambria" w:hAnsi="Cambria"/>
                <w:sz w:val="22"/>
                <w:szCs w:val="22"/>
              </w:rPr>
            </w:pPr>
            <w:r w:rsidRPr="005B0B70">
              <w:rPr>
                <w:rFonts w:ascii="Cambria" w:hAnsi="Cambria"/>
                <w:sz w:val="22"/>
                <w:szCs w:val="22"/>
              </w:rPr>
              <w:t xml:space="preserve">szczegółowy opis wymagań dotyczących zamontowania w autobusach systemu telemetrii (radiotelefonu) i lokalizacji pojazdu przedstawiony został w załączniku nr </w:t>
            </w:r>
            <w:r w:rsidR="00A424A4" w:rsidRPr="005B0B70">
              <w:rPr>
                <w:rFonts w:ascii="Cambria" w:hAnsi="Cambria"/>
                <w:sz w:val="22"/>
                <w:szCs w:val="22"/>
              </w:rPr>
              <w:t>1.5.2</w:t>
            </w:r>
            <w:r w:rsidRPr="005B0B70">
              <w:rPr>
                <w:rFonts w:ascii="Cambria" w:hAnsi="Cambria"/>
                <w:sz w:val="22"/>
                <w:szCs w:val="22"/>
              </w:rPr>
              <w:t xml:space="preserve"> do SWZ.</w:t>
            </w:r>
          </w:p>
        </w:tc>
      </w:tr>
      <w:tr w:rsidR="005B0B70" w:rsidRPr="005B0B70" w14:paraId="26D785B7" w14:textId="77777777" w:rsidTr="008B1FA0">
        <w:trPr>
          <w:cantSplit/>
        </w:trPr>
        <w:tc>
          <w:tcPr>
            <w:tcW w:w="379" w:type="dxa"/>
          </w:tcPr>
          <w:p w14:paraId="7BE6E324"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63A4E366" w14:textId="73421079" w:rsidR="00877A35" w:rsidRPr="005B0B70" w:rsidRDefault="009E2BA4"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S</w:t>
            </w:r>
            <w:r w:rsidR="00877A35" w:rsidRPr="005B0B70">
              <w:rPr>
                <w:rFonts w:ascii="Cambria" w:eastAsia="Times New Roman" w:hAnsi="Cambria" w:cs="Times New Roman"/>
                <w:szCs w:val="20"/>
                <w:lang w:eastAsia="pl-PL"/>
              </w:rPr>
              <w:t>ystem nagłaśniający</w:t>
            </w:r>
          </w:p>
        </w:tc>
        <w:tc>
          <w:tcPr>
            <w:tcW w:w="7882" w:type="dxa"/>
          </w:tcPr>
          <w:p w14:paraId="73505C59"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wyposażony w mikrofon dla kierowcy, gniazdo dla mikrofonu dodatkowego typu DIN 4 pin/216° z bezpośrednim dostępem umieszczone w pasie nadokiennym bezpośrednio za I drzwiami, głośniki wewnątrz autobusu oraz głośnik zewnętrzny; system musi umożliwiać:</w:t>
            </w:r>
          </w:p>
          <w:p w14:paraId="6CF3BE7C" w14:textId="1C97F850"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przekazywanie przez głośniki wewnętrzne komunikatów z systemu automatycznej głosowej informacji o trasie oraz innych dodatkowych komunikatów, w sekwencji określonej przez Zamawiającego, zgodnie z załącznikiem nr </w:t>
            </w:r>
            <w:r w:rsidR="00A424A4" w:rsidRPr="005B0B70">
              <w:rPr>
                <w:rFonts w:ascii="Cambria" w:eastAsia="Times New Roman" w:hAnsi="Cambria" w:cs="Times New Roman"/>
                <w:szCs w:val="20"/>
                <w:lang w:eastAsia="pl-PL"/>
              </w:rPr>
              <w:t>1.5.2</w:t>
            </w:r>
            <w:r w:rsidRPr="005B0B70">
              <w:rPr>
                <w:rFonts w:ascii="Cambria" w:eastAsia="Times New Roman" w:hAnsi="Cambria" w:cs="Times New Roman"/>
                <w:szCs w:val="20"/>
                <w:lang w:eastAsia="pl-PL"/>
              </w:rPr>
              <w:t xml:space="preserve"> do SWZ;</w:t>
            </w:r>
          </w:p>
          <w:p w14:paraId="5DDF9A80"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przekazywanie przez kierowcę doraźnych komunikatów dla pasażerów; włączenie przez kierowcę mikrofonu w celu przekazania komunikatu powinno spowodować samoczynne wyciszenie emitowanych w tym momencie komunikatów z systemu automatycznego, bez zakłócenia realizowanej sekwencji;  </w:t>
            </w:r>
          </w:p>
          <w:p w14:paraId="6636F94A"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doraźne komunikaty dla pasażerów, po każdorazowym włączeniu mikrofonu, są domyślnie przekazywane przez głośniki wewnętrzne; przekazanie doraźnego komunikatu przez głośniki zewnętrzne wymaga dodatkowo, po włączeniu mikrofonu, każdorazowej aktywacji przyciskiem funkcji głośnika zewnętrznego,</w:t>
            </w:r>
            <w:r w:rsidRPr="005B0B70">
              <w:rPr>
                <w:rFonts w:ascii="Times New Roman" w:eastAsia="Times New Roman" w:hAnsi="Times New Roman" w:cs="Times New Roman"/>
                <w:sz w:val="24"/>
                <w:szCs w:val="24"/>
                <w:lang w:eastAsia="pl-PL"/>
              </w:rPr>
              <w:t xml:space="preserve"> </w:t>
            </w:r>
            <w:r w:rsidRPr="005B0B70">
              <w:rPr>
                <w:rFonts w:ascii="Cambria" w:eastAsia="Times New Roman" w:hAnsi="Cambria" w:cs="Times New Roman"/>
                <w:szCs w:val="20"/>
                <w:lang w:eastAsia="pl-PL"/>
              </w:rPr>
              <w:t>dopuszcza się osobne przyciski aktywacji głośników wewnętrznych i głośnika zewnętrznego;</w:t>
            </w:r>
          </w:p>
          <w:p w14:paraId="66066F16"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automatyczne wyłączenie mikrofonu i powrót systemu do stanu pierwotnego, po 30 sekundach od włączenia mikrofonu, niezależnie od tego czy po włączeniu komunikat został przekazany;</w:t>
            </w:r>
          </w:p>
          <w:p w14:paraId="1FE08BB7" w14:textId="77777777" w:rsidR="007962C9" w:rsidRPr="005B0B70" w:rsidRDefault="007962C9" w:rsidP="007962C9">
            <w:pPr>
              <w:numPr>
                <w:ilvl w:val="0"/>
                <w:numId w:val="6"/>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działanie mikrofonu dodatkowego przez cały czas po podłączeniu go do gniazda, z samoczynnym wyciszeniem wyłącznie w momencie emitowania przez kierowcę doraźnych komunikatów dla pasażerów;</w:t>
            </w:r>
          </w:p>
          <w:p w14:paraId="66B77384" w14:textId="4E7D1B72" w:rsidR="00877A35" w:rsidRPr="005B0B70" w:rsidRDefault="007962C9" w:rsidP="007962C9">
            <w:pPr>
              <w:numPr>
                <w:ilvl w:val="0"/>
                <w:numId w:val="6"/>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przekazywanie przez głośnik zewnętrzny komunikatów z systemu automatycznej głosowej informacji o trasie w trakcie postoju na przystanku, zgodnie z załącznikiem nr </w:t>
            </w:r>
            <w:r w:rsidR="00A424A4" w:rsidRPr="005B0B70">
              <w:rPr>
                <w:rFonts w:ascii="Cambria" w:eastAsia="Times New Roman" w:hAnsi="Cambria" w:cs="Times New Roman"/>
                <w:szCs w:val="20"/>
                <w:lang w:eastAsia="pl-PL"/>
              </w:rPr>
              <w:t>1.5.2</w:t>
            </w:r>
            <w:r w:rsidRPr="005B0B70">
              <w:rPr>
                <w:rFonts w:ascii="Cambria" w:eastAsia="Times New Roman" w:hAnsi="Cambria" w:cs="Times New Roman"/>
                <w:szCs w:val="20"/>
                <w:lang w:eastAsia="pl-PL"/>
              </w:rPr>
              <w:t xml:space="preserve"> do SWZ – informacja dla pasażerów oczekujących na przystanku, prezentowana automatycznie lub jednorazowo po uaktywnieniu jej przez kierowcę;</w:t>
            </w:r>
          </w:p>
        </w:tc>
      </w:tr>
      <w:tr w:rsidR="005B0B70" w:rsidRPr="005B0B70" w14:paraId="6EB34D86" w14:textId="77777777" w:rsidTr="008B1FA0">
        <w:tc>
          <w:tcPr>
            <w:tcW w:w="379" w:type="dxa"/>
          </w:tcPr>
          <w:p w14:paraId="35319380" w14:textId="77777777" w:rsidR="007962C9" w:rsidRPr="005B0B70" w:rsidRDefault="007962C9" w:rsidP="007962C9">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9F45D0E" w14:textId="6E84093D" w:rsidR="007962C9" w:rsidRPr="005B0B70" w:rsidRDefault="007962C9" w:rsidP="007962C9">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Kasowniki</w:t>
            </w:r>
            <w:r w:rsidRPr="005B0B70">
              <w:rPr>
                <w:rStyle w:val="Odwoanieprzypisudolnego"/>
                <w:rFonts w:ascii="Cambria" w:eastAsia="Times New Roman" w:hAnsi="Cambria" w:cs="Times New Roman"/>
                <w:szCs w:val="20"/>
                <w:lang w:eastAsia="pl-PL"/>
              </w:rPr>
              <w:footnoteReference w:id="13"/>
            </w:r>
          </w:p>
        </w:tc>
        <w:tc>
          <w:tcPr>
            <w:tcW w:w="7882" w:type="dxa"/>
          </w:tcPr>
          <w:p w14:paraId="4516152C" w14:textId="77777777" w:rsidR="007962C9" w:rsidRPr="005B0B70" w:rsidRDefault="007962C9" w:rsidP="007962C9">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autobus przygotowany do zainstalowania systemu kasowników firmy Ascom Monetel S.A. aktualnie działającej jako: XEROX Business Solutions France SAS (poprzednio ACS</w:t>
            </w:r>
            <w:r w:rsidRPr="005B0B70">
              <w:rPr>
                <w:rFonts w:ascii="Cambria" w:eastAsia="Times New Roman" w:hAnsi="Cambria" w:cs="Times New Roman"/>
                <w:b/>
                <w:bCs/>
                <w:szCs w:val="20"/>
                <w:lang w:eastAsia="pl-PL"/>
              </w:rPr>
              <w:t xml:space="preserve"> </w:t>
            </w:r>
            <w:r w:rsidRPr="005B0B70">
              <w:rPr>
                <w:rFonts w:ascii="Cambria" w:eastAsia="Times New Roman" w:hAnsi="Cambria" w:cs="Times New Roman"/>
                <w:szCs w:val="20"/>
                <w:lang w:eastAsia="pl-PL"/>
              </w:rPr>
              <w:t>PTE, Affiliated Computer Services Solutions France SAS) lub równoważnego;</w:t>
            </w:r>
          </w:p>
          <w:p w14:paraId="7B371285" w14:textId="77777777" w:rsidR="007962C9" w:rsidRPr="005B0B70" w:rsidRDefault="007962C9" w:rsidP="007962C9">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autobus wyposażony w sterownik kasowników posiadający </w:t>
            </w:r>
            <w:r w:rsidRPr="005B0B70">
              <w:rPr>
                <w:rFonts w:ascii="Cambria" w:eastAsia="Times New Roman" w:hAnsi="Cambria" w:cs="Times New Roman"/>
                <w:lang w:eastAsia="pl-PL"/>
              </w:rPr>
              <w:t xml:space="preserve">moduł WiFi do transmisji danych z/do systemu kasowników, w rozdzielacz SPOzP, w podstawy kasowników </w:t>
            </w:r>
            <w:r w:rsidRPr="005B0B70">
              <w:rPr>
                <w:rFonts w:ascii="Cambria" w:eastAsia="Times New Roman" w:hAnsi="Cambria" w:cs="Times New Roman"/>
                <w:szCs w:val="20"/>
                <w:lang w:eastAsia="pl-PL"/>
              </w:rPr>
              <w:t>oraz w instalację elektryczną do punktów mocowania: kasowników z podstawą (</w:t>
            </w:r>
            <w:r w:rsidRPr="005B0B70">
              <w:rPr>
                <w:rFonts w:ascii="Cambria" w:eastAsia="Times New Roman" w:hAnsi="Cambria" w:cs="Times New Roman"/>
                <w:lang w:eastAsia="pl-PL"/>
              </w:rPr>
              <w:t xml:space="preserve">wysokość podstawy kasownika od podłogi: 1000 ÷ 1100 mm, </w:t>
            </w:r>
            <w:r w:rsidRPr="005B0B70">
              <w:rPr>
                <w:rFonts w:ascii="Cambria" w:eastAsia="Times New Roman" w:hAnsi="Cambria" w:cs="Times New Roman"/>
                <w:szCs w:val="20"/>
                <w:lang w:eastAsia="pl-PL"/>
              </w:rPr>
              <w:t xml:space="preserve">usytuowanie w pobliżu każdych </w:t>
            </w:r>
            <w:r w:rsidRPr="005B0B70">
              <w:rPr>
                <w:rFonts w:ascii="Cambria" w:eastAsia="Times New Roman" w:hAnsi="Cambria" w:cs="Times New Roman"/>
                <w:lang w:eastAsia="pl-PL"/>
              </w:rPr>
              <w:t>drzwi w sposób nie utrudniający przejścia pasażerom</w:t>
            </w:r>
            <w:r w:rsidRPr="005B0B70">
              <w:rPr>
                <w:rFonts w:ascii="Cambria" w:eastAsia="Times New Roman" w:hAnsi="Cambria" w:cs="Times New Roman"/>
                <w:szCs w:val="20"/>
                <w:lang w:eastAsia="pl-PL"/>
              </w:rPr>
              <w:t>), sterownika z końcówką przyłączeniową, (miejsce montażu kasowników oraz sterownika zostanie uzgodnione przy podpisywaniu Umowy lub przy produkcji pierwszej sztuki autobusu);</w:t>
            </w:r>
          </w:p>
          <w:p w14:paraId="0ACE7AD8" w14:textId="77777777" w:rsidR="007962C9" w:rsidRPr="005B0B70" w:rsidRDefault="007962C9" w:rsidP="007962C9">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sterownik kasowników wchodzący w skład systemu kasowników jest jego integralną częścią i pozwala na wymianę danych przez moduł WiFi;</w:t>
            </w:r>
          </w:p>
          <w:p w14:paraId="2E4B7421" w14:textId="77777777" w:rsidR="007962C9" w:rsidRPr="005B0B70" w:rsidRDefault="007962C9" w:rsidP="007962C9">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poprzez sieć LAN (złącza M12) </w:t>
            </w:r>
            <w:r w:rsidRPr="005B0B70">
              <w:rPr>
                <w:rFonts w:ascii="Cambria" w:eastAsia="Times New Roman" w:hAnsi="Cambria" w:cs="Times New Roman"/>
                <w:szCs w:val="20"/>
                <w:lang w:eastAsia="pl-PL"/>
              </w:rPr>
              <w:t>sterownik kasowników komunikuje się                             z autokomputerem systemu informacji liniowej</w:t>
            </w:r>
            <w:r w:rsidRPr="005B0B70">
              <w:rPr>
                <w:rFonts w:ascii="Cambria" w:eastAsia="Times New Roman" w:hAnsi="Cambria" w:cs="Times New Roman"/>
                <w:lang w:eastAsia="pl-PL"/>
              </w:rPr>
              <w:t>;</w:t>
            </w:r>
          </w:p>
          <w:p w14:paraId="1FB2F0A7" w14:textId="77777777" w:rsidR="007962C9" w:rsidRPr="005B0B70" w:rsidRDefault="007962C9" w:rsidP="007962C9">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czas systemowy do systemu kasowników będzie aktualizowany ze wskazanego przez Zamawiającego serwera czasu;</w:t>
            </w:r>
          </w:p>
          <w:p w14:paraId="2EC70844" w14:textId="77777777" w:rsidR="007962C9" w:rsidRPr="005B0B70" w:rsidRDefault="007962C9" w:rsidP="007962C9">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t>do komunikacji zewnętrznej Zamawiający udostępni dla systemu kasowników przyłącze internetowe;</w:t>
            </w:r>
          </w:p>
          <w:p w14:paraId="2494EB20" w14:textId="77777777" w:rsidR="007962C9" w:rsidRPr="005B0B70" w:rsidRDefault="007962C9" w:rsidP="007962C9">
            <w:pPr>
              <w:numPr>
                <w:ilvl w:val="0"/>
                <w:numId w:val="28"/>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t>razem z systemem kasowników wykonawca dostarczy oprogramowanie zarządzające sterownikiem i kasownikami z obsługą protokołu komunikacyjnego producenta systemu /</w:t>
            </w:r>
            <w:r w:rsidRPr="005B0B70">
              <w:rPr>
                <w:rFonts w:ascii="Cambria" w:eastAsia="Times New Roman" w:hAnsi="Cambria" w:cs="Times New Roman"/>
                <w:szCs w:val="20"/>
                <w:lang w:eastAsia="pl-PL"/>
              </w:rPr>
              <w:t xml:space="preserve"> Ascom-Monetel </w:t>
            </w:r>
            <w:r w:rsidRPr="005B0B70">
              <w:rPr>
                <w:rFonts w:ascii="Cambria" w:eastAsia="Times New Roman" w:hAnsi="Cambria" w:cs="Times New Roman"/>
                <w:lang w:eastAsia="pl-PL"/>
              </w:rPr>
              <w:t>/ i protokołu komunikacyjnego łączności radiowej.</w:t>
            </w:r>
          </w:p>
          <w:p w14:paraId="37B67BAC" w14:textId="000CFCFA" w:rsidR="007962C9" w:rsidRPr="005B0B70" w:rsidRDefault="007962C9" w:rsidP="007962C9">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b/>
                <w:bCs/>
                <w:szCs w:val="20"/>
                <w:lang w:eastAsia="pl-PL"/>
              </w:rPr>
              <w:t xml:space="preserve">UWAGA: </w:t>
            </w:r>
            <w:r w:rsidRPr="005B0B70">
              <w:rPr>
                <w:rFonts w:ascii="Cambria" w:eastAsia="Times New Roman" w:hAnsi="Cambria" w:cs="Times New Roman"/>
                <w:szCs w:val="20"/>
                <w:lang w:eastAsia="pl-PL"/>
              </w:rPr>
              <w:t xml:space="preserve">kasowniki dostarcza i montuje Zamawiający. </w:t>
            </w:r>
          </w:p>
        </w:tc>
      </w:tr>
      <w:tr w:rsidR="005B0B70" w:rsidRPr="005B0B70" w14:paraId="7E5B0259" w14:textId="77777777" w:rsidTr="008B1FA0">
        <w:trPr>
          <w:cantSplit/>
        </w:trPr>
        <w:tc>
          <w:tcPr>
            <w:tcW w:w="379" w:type="dxa"/>
          </w:tcPr>
          <w:p w14:paraId="6FB1F7ED" w14:textId="77777777" w:rsidR="00877A35" w:rsidRPr="005B0B70" w:rsidRDefault="00877A35" w:rsidP="00C232FB">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9812ED2" w14:textId="73DE822B" w:rsidR="00877A35" w:rsidRPr="005B0B70" w:rsidRDefault="009E2BA4"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R</w:t>
            </w:r>
            <w:r w:rsidR="00877A35" w:rsidRPr="005B0B70">
              <w:rPr>
                <w:rFonts w:ascii="Cambria" w:eastAsia="Times New Roman" w:hAnsi="Cambria" w:cs="Times New Roman"/>
                <w:szCs w:val="20"/>
                <w:lang w:eastAsia="pl-PL"/>
              </w:rPr>
              <w:t>amki na tablice</w:t>
            </w:r>
          </w:p>
          <w:p w14:paraId="0BEDDB2D" w14:textId="77777777" w:rsidR="00877A35" w:rsidRPr="005B0B70" w:rsidRDefault="00877A35" w:rsidP="00877A35">
            <w:pPr>
              <w:spacing w:after="0" w:line="240" w:lineRule="auto"/>
              <w:ind w:left="283" w:hanging="283"/>
              <w:rPr>
                <w:rFonts w:ascii="Cambria" w:eastAsia="Times New Roman" w:hAnsi="Cambria" w:cs="Times New Roman"/>
                <w:szCs w:val="20"/>
                <w:lang w:eastAsia="pl-PL"/>
              </w:rPr>
            </w:pPr>
            <w:r w:rsidRPr="005B0B70">
              <w:rPr>
                <w:rFonts w:ascii="Cambria" w:eastAsia="Times New Roman" w:hAnsi="Cambria" w:cs="Times New Roman"/>
                <w:szCs w:val="20"/>
                <w:lang w:eastAsia="pl-PL"/>
              </w:rPr>
              <w:t>informacyjne</w:t>
            </w:r>
          </w:p>
          <w:p w14:paraId="3EFDF942" w14:textId="77777777" w:rsidR="00877A35" w:rsidRPr="005B0B70" w:rsidRDefault="00877A35" w:rsidP="00877A35">
            <w:pPr>
              <w:spacing w:after="0" w:line="240" w:lineRule="auto"/>
              <w:rPr>
                <w:rFonts w:ascii="Cambria" w:eastAsia="Times New Roman" w:hAnsi="Cambria" w:cs="Times New Roman"/>
                <w:szCs w:val="20"/>
                <w:lang w:eastAsia="pl-PL"/>
              </w:rPr>
            </w:pPr>
            <w:r w:rsidRPr="005B0B70">
              <w:rPr>
                <w:rFonts w:ascii="Cambria" w:eastAsia="Times New Roman" w:hAnsi="Cambria" w:cs="Times New Roman"/>
                <w:szCs w:val="20"/>
                <w:lang w:eastAsia="pl-PL"/>
              </w:rPr>
              <w:t>(reklamy), pojemnik na materiały (ulotki) informacyjne</w:t>
            </w:r>
          </w:p>
        </w:tc>
        <w:tc>
          <w:tcPr>
            <w:tcW w:w="7882" w:type="dxa"/>
          </w:tcPr>
          <w:p w14:paraId="30501D63" w14:textId="594FBA6C" w:rsidR="00877A35" w:rsidRPr="005B0B70" w:rsidRDefault="00877A35" w:rsidP="007962C9">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ramki na tablice informacyjne (reklamy) – ramka zatrzaskowa formatu A2 (rozmiar części widocznej, pionowo) na plakaty informacyjne umieszczona na ściance za kabiną kierowcy, umożliwiająca łatwą wymianę materiałów; zalecane zabezpieczenie ramki przed otwarciem przez osoby niepowołane, np. zastosowanie zamka na kluczyk; typ ramki oraz jej usytuowanie zostaną uzgodnione przed podpisaniem Umowy lub przy produkcji pierwszej sztuki autobusu</w:t>
            </w:r>
            <w:r w:rsidR="007962C9" w:rsidRPr="005B0B70">
              <w:rPr>
                <w:rFonts w:ascii="Cambria" w:eastAsia="Times New Roman" w:hAnsi="Cambria" w:cs="Times New Roman"/>
                <w:szCs w:val="20"/>
                <w:lang w:eastAsia="pl-PL"/>
              </w:rPr>
              <w:t>;</w:t>
            </w:r>
          </w:p>
          <w:p w14:paraId="0C843297" w14:textId="3B978DA2" w:rsidR="00877A35" w:rsidRPr="005B0B70" w:rsidRDefault="00877A35" w:rsidP="007962C9">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uchwyty na plakaty informacyjne – typu klips do mocowania arkusza formatu A3 (w pozycji poziomej), zamontowane w górnej części pierwszego okna po prawej stronie pojazdu (obok elektronicznej tablicy wewnętrznej bocznej) oraz w górnej części okna przy III drzwiach (bez zamocowanej tablicy elektronicznej); konstrukcja i usytuowanie uchwytów zostaną uzgodnione przed podpisaniem Umowy lub przy produkcji pierwszej sztuki autobusu</w:t>
            </w:r>
            <w:r w:rsidR="007962C9" w:rsidRPr="005B0B70">
              <w:rPr>
                <w:rFonts w:ascii="Cambria" w:eastAsia="Times New Roman" w:hAnsi="Cambria" w:cs="Times New Roman"/>
                <w:szCs w:val="20"/>
                <w:lang w:eastAsia="pl-PL"/>
              </w:rPr>
              <w:t>;</w:t>
            </w:r>
          </w:p>
          <w:p w14:paraId="7C82F874" w14:textId="522F9DC6" w:rsidR="00F71F95" w:rsidRPr="005B0B70" w:rsidRDefault="00F71F95" w:rsidP="00F71F95">
            <w:pPr>
              <w:numPr>
                <w:ilvl w:val="0"/>
                <w:numId w:val="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ramki na plakaty informacyjne (reklamy) – ramka typu </w:t>
            </w:r>
            <w:r w:rsidRPr="005B0B70">
              <w:rPr>
                <w:rFonts w:ascii="Cambria" w:eastAsia="Times New Roman" w:hAnsi="Cambria" w:cs="Times New Roman"/>
                <w:i/>
                <w:iCs/>
                <w:lang w:eastAsia="pl-PL"/>
              </w:rPr>
              <w:t>clik-in</w:t>
            </w:r>
            <w:r w:rsidRPr="005B0B70">
              <w:rPr>
                <w:rFonts w:ascii="Cambria" w:eastAsia="Times New Roman" w:hAnsi="Cambria" w:cs="Times New Roman"/>
                <w:lang w:eastAsia="pl-PL"/>
              </w:rPr>
              <w:t xml:space="preserve"> o wymiarach 900 x 300 mm, zalecane min. 6 sztuk, zamocowane do nadwozia w pasie nad oknami bocznymi, w miarę możliwości naprzeciwko drzwi i w dobrze widocznych miejscach; ramki nie mogą uniemożliwiać umieszczenia oznaczeń informacyjnych i piktogramów, w szczególności nad miejscami specjalnymi (naklejka o wymiarach 100x300 mm) oraz za kabiną kierowcy; typ ramek oraz ich usytuowanie zostaną uzgodnione przed podpisaniem Umowy lub przy produkcji pierwszej sztuki autobusu;</w:t>
            </w:r>
          </w:p>
          <w:p w14:paraId="47826C08" w14:textId="77777777" w:rsidR="00F71F95" w:rsidRPr="005B0B70" w:rsidRDefault="00F71F95" w:rsidP="00F71F95">
            <w:pPr>
              <w:numPr>
                <w:ilvl w:val="0"/>
                <w:numId w:val="4"/>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uchwyty na zastępczą informację liniową eksponowaną w trybie doraźnym, umożliwiające umieszczenie tablic o wymiarach 250 x 870 mm oraz 260 x 400 mm; zamontowane w dolnej części okna przedniego po prawej stronie oraz okna pomiędzy I a II drzwiami oraz okna tylnego (w przypadku braku okna dopuszczalne inne rozwiązanie, zgodne z obowiązującymi przepisami); uchwyty powinny umożliwiać umieszczenie tablicy i dociśnięcie jej do okna; uchwyty nie mogą powodować ograniczenia widoczności innych elementów informacyjnych (tablice elektroniczne, plakaty, wyświetlacz numeru zadania przewozowego), w stanie nie używanym nie mogą ograniczać widoczności kierowcy; konstrukcja uchwytów oraz ich lokalizacja zostaną uzgodnione przed podpisaniem Umowy lub przy produkcji pierwszej sztuki autobusu;</w:t>
            </w:r>
          </w:p>
          <w:p w14:paraId="35BBBD54" w14:textId="71774C57" w:rsidR="00877A35" w:rsidRPr="005B0B70" w:rsidRDefault="00F71F95" w:rsidP="00AD6804">
            <w:pPr>
              <w:numPr>
                <w:ilvl w:val="0"/>
                <w:numId w:val="4"/>
              </w:numPr>
              <w:spacing w:after="0" w:line="240" w:lineRule="auto"/>
              <w:jc w:val="both"/>
              <w:rPr>
                <w:rFonts w:ascii="Cambria" w:eastAsia="Times New Roman" w:hAnsi="Cambria" w:cs="Times New Roman"/>
                <w:szCs w:val="20"/>
                <w:lang w:eastAsia="pl-PL"/>
              </w:rPr>
            </w:pPr>
            <w:r w:rsidRPr="005B0B70">
              <w:rPr>
                <w:rFonts w:ascii="Cambria" w:eastAsia="Times New Roman" w:hAnsi="Cambria" w:cs="Times New Roman"/>
                <w:lang w:eastAsia="pl-PL"/>
              </w:rPr>
              <w:t>ramka na plakaty informacyjno-promocyjne formatu A3 umieszczona pionowo; ze szczeliną umożliwiającą umieszczanie i wyjmowanie plakatów od góry; wykonana z przezroczystego, bezbarwnego tworzywa sztucznego i wyposażona w kieszeń PVC antyrefleksyjną, zabezpieczającą umieszczone w ramce plakaty z obu stron; zamocowana przy użyciu taśmy żelowej do okna bocznego po lewej stronie autobusu w przestrzeni od kabiny kierowcy do tylnej krawędzi platformy do przewozu wózków; konstrukcja ramki oraz jej lokalizacja zostaną uzgodnione przed podpisaniem Umowy lub przy produkcji pierwszej sztuki autobusu;</w:t>
            </w:r>
          </w:p>
        </w:tc>
      </w:tr>
      <w:tr w:rsidR="005B0B70" w:rsidRPr="005B0B70" w14:paraId="1F9285F9" w14:textId="77777777" w:rsidTr="008B1FA0">
        <w:tc>
          <w:tcPr>
            <w:tcW w:w="379" w:type="dxa"/>
          </w:tcPr>
          <w:p w14:paraId="04761170" w14:textId="77777777" w:rsidR="00F71F95" w:rsidRPr="005B0B70" w:rsidRDefault="00F71F95" w:rsidP="00F71F95">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4087A7F7" w14:textId="1120D5DE" w:rsidR="00F71F95" w:rsidRPr="005B0B70" w:rsidRDefault="00F71F95" w:rsidP="00F71F95">
            <w:pPr>
              <w:spacing w:after="0" w:line="240" w:lineRule="auto"/>
              <w:rPr>
                <w:rFonts w:ascii="Cambria" w:eastAsia="Times New Roman" w:hAnsi="Cambria" w:cs="Times New Roman"/>
                <w:bCs/>
                <w:lang w:eastAsia="pl-PL"/>
              </w:rPr>
            </w:pPr>
            <w:r w:rsidRPr="005B0B70">
              <w:rPr>
                <w:rFonts w:ascii="Cambria" w:eastAsia="Times New Roman" w:hAnsi="Cambria" w:cs="Times New Roman"/>
                <w:bCs/>
                <w:lang w:eastAsia="pl-PL"/>
              </w:rPr>
              <w:t>System wykrywania pożaru,</w:t>
            </w:r>
          </w:p>
          <w:p w14:paraId="2F438400" w14:textId="77777777" w:rsidR="00F71F95" w:rsidRPr="005B0B70" w:rsidRDefault="00F71F95" w:rsidP="00F71F95">
            <w:pPr>
              <w:spacing w:after="0" w:line="240" w:lineRule="auto"/>
              <w:rPr>
                <w:rFonts w:ascii="Cambria" w:eastAsia="Times New Roman" w:hAnsi="Cambria" w:cs="Times New Roman"/>
                <w:bCs/>
                <w:lang w:eastAsia="pl-PL"/>
              </w:rPr>
            </w:pPr>
            <w:r w:rsidRPr="005B0B70">
              <w:rPr>
                <w:rFonts w:ascii="Cambria" w:eastAsia="Times New Roman" w:hAnsi="Cambria" w:cs="Times New Roman"/>
                <w:bCs/>
                <w:lang w:eastAsia="pl-PL"/>
              </w:rPr>
              <w:t>system gaszenia</w:t>
            </w:r>
          </w:p>
          <w:p w14:paraId="4C2BC299" w14:textId="77777777" w:rsidR="00F71F95" w:rsidRPr="005B0B70" w:rsidRDefault="00F71F95" w:rsidP="00F71F95">
            <w:pPr>
              <w:spacing w:after="0" w:line="240" w:lineRule="auto"/>
              <w:rPr>
                <w:rFonts w:ascii="Cambria" w:eastAsia="Times New Roman" w:hAnsi="Cambria" w:cs="Times New Roman"/>
                <w:lang w:eastAsia="pl-PL"/>
              </w:rPr>
            </w:pPr>
          </w:p>
        </w:tc>
        <w:tc>
          <w:tcPr>
            <w:tcW w:w="7882" w:type="dxa"/>
          </w:tcPr>
          <w:p w14:paraId="0C932C92"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Zamawiający wymaga zastosowania:</w:t>
            </w:r>
          </w:p>
          <w:p w14:paraId="05218EB8"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automatycznego systemu detekcyjnego stanu baterii trakcyjnych zlokalizowanego w lub na bateriach trakcyjnych (w packach) sygnalizującego zagrożenie pożarowe, działające na zasadzie reakcji na nadmierny miejscowy wzrost temperatury w bateriach lub działający poprzez detekcję produktów rozkładu termicznego lub procesów fizykochemicznych zachodzących w celach/packach baterii (wykrywanie gazów) jeszcze przed pojawieniem się wyższej temperatury i ognia, system pełni jednocześnie funkcje sygnalizacyjne;  </w:t>
            </w:r>
          </w:p>
          <w:p w14:paraId="736CECBA"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system zapewniający stały zdalny (on-line) podgląd na stan baterii i linię detekcyjną, opis funkcjonalności systemu zostanie ustalony pomiędzy Stronami w trybie roboczym po podpisaniu umowy; </w:t>
            </w:r>
          </w:p>
          <w:p w14:paraId="34C28B24"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lastRenderedPageBreak/>
              <w:t>automatycznego systemu gaszenia, posiadającego osobną linię detekcyjną i jednocześnie aktywującą system gaśniczy, który musi obejmować wszystkie miejsca, które z technicznego punktu widzenia mogą stanowić potencjalne źródło pożaru w tym  co najmniej komorę urządzenia grzewczego i obwód przygotowania powietrza (sprężarkę pneumatyczną, silnik napędowy, wężownicę chłodzącą powietrza)oraz o ile występuje silnik centralny; zalecany środek gaśniczy – proszek gaśniczy o wysokiej wydajności; dopuszcza się zastosowanie dwóch automatycznych systemów gaszenia w przypadku problemów technicznych z objęciem jednym systemem gaszenia wymaganych obszarów chronionych;</w:t>
            </w:r>
          </w:p>
          <w:p w14:paraId="2660A964"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Zamawiający zaleca wykonanie linii detekcyjnych jako jednej pętli obejmującej cały obszar chroniony, bez łączeń, rozgałęzień itp.;</w:t>
            </w:r>
          </w:p>
          <w:p w14:paraId="654F157A"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oba systemy muszą być wyposażone w układy diagnozy przeznaczone dla kierowcy; sprawność lub niesprawność systemów musi być sygnalizowana na stanowisku kierowcy optycznie: lampka sygnalizacyjna lub ikona na wyświetlaczu;</w:t>
            </w:r>
          </w:p>
          <w:p w14:paraId="25F7D359"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fakt wykrycia pożaru lub uruchomienia systemu gaszenia musi być sygnalizowany na stanowisku kierowcy optycznie (lampka sygnalizacyjna) i dźwiękiem (sygnał alarmowy);</w:t>
            </w:r>
          </w:p>
          <w:p w14:paraId="776CAF6B" w14:textId="2F73B1A2" w:rsidR="00F71F95" w:rsidRPr="005B0B70" w:rsidRDefault="00F71F95" w:rsidP="00F71F95">
            <w:pPr>
              <w:numPr>
                <w:ilvl w:val="0"/>
                <w:numId w:val="4"/>
              </w:numPr>
              <w:spacing w:after="0" w:line="240" w:lineRule="auto"/>
              <w:rPr>
                <w:rFonts w:ascii="Cambria" w:eastAsia="Times New Roman" w:hAnsi="Cambria" w:cs="Times New Roman"/>
                <w:szCs w:val="20"/>
                <w:lang w:eastAsia="pl-PL"/>
              </w:rPr>
            </w:pPr>
            <w:r w:rsidRPr="005B0B70">
              <w:rPr>
                <w:rFonts w:ascii="Cambria" w:eastAsia="Times New Roman" w:hAnsi="Cambria" w:cs="Times New Roman"/>
                <w:lang w:eastAsia="pl-PL"/>
              </w:rPr>
              <w:t>zastosowane systemy wykrywania pożaru oraz gaszenia muszą posiadać pełną gwarancję, obejmującą wykonywanie w ramach świadczeń gwarancyjnych wszystkich czynności obsługowych i naprawczych (wraz z materiałami), na okres co najmniej 10 lat;</w:t>
            </w:r>
          </w:p>
        </w:tc>
      </w:tr>
      <w:tr w:rsidR="005B0B70" w:rsidRPr="005B0B70" w14:paraId="449093A6" w14:textId="77777777" w:rsidTr="008B1FA0">
        <w:tc>
          <w:tcPr>
            <w:tcW w:w="379" w:type="dxa"/>
          </w:tcPr>
          <w:p w14:paraId="532A5CB9" w14:textId="77777777" w:rsidR="00F71F95" w:rsidRPr="005B0B70" w:rsidRDefault="00F71F95" w:rsidP="00F71F95">
            <w:pPr>
              <w:numPr>
                <w:ilvl w:val="0"/>
                <w:numId w:val="23"/>
              </w:numPr>
              <w:spacing w:after="0" w:line="240" w:lineRule="auto"/>
              <w:jc w:val="center"/>
              <w:rPr>
                <w:rFonts w:ascii="Cambria" w:eastAsia="Times New Roman" w:hAnsi="Cambria" w:cs="Times New Roman"/>
                <w:szCs w:val="20"/>
                <w:lang w:eastAsia="pl-PL"/>
              </w:rPr>
            </w:pPr>
          </w:p>
        </w:tc>
        <w:tc>
          <w:tcPr>
            <w:tcW w:w="1946" w:type="dxa"/>
          </w:tcPr>
          <w:p w14:paraId="1B34190C" w14:textId="5303478F" w:rsidR="00F71F95" w:rsidRPr="005B0B70" w:rsidRDefault="00F71F95" w:rsidP="00F71F95">
            <w:pPr>
              <w:spacing w:after="0" w:line="240" w:lineRule="auto"/>
              <w:rPr>
                <w:rFonts w:ascii="Cambria" w:eastAsia="Times New Roman" w:hAnsi="Cambria" w:cs="Times New Roman"/>
                <w:bCs/>
                <w:szCs w:val="18"/>
                <w:lang w:eastAsia="pl-PL"/>
              </w:rPr>
            </w:pPr>
            <w:r w:rsidRPr="005B0B70">
              <w:rPr>
                <w:rFonts w:ascii="Cambria" w:eastAsia="Times New Roman" w:hAnsi="Cambria" w:cs="Times New Roman"/>
                <w:bCs/>
                <w:szCs w:val="18"/>
                <w:lang w:eastAsia="pl-PL"/>
              </w:rPr>
              <w:t>Automat do sprzedaży biletów</w:t>
            </w:r>
          </w:p>
        </w:tc>
        <w:tc>
          <w:tcPr>
            <w:tcW w:w="7882" w:type="dxa"/>
          </w:tcPr>
          <w:p w14:paraId="33AABF33" w14:textId="77777777" w:rsidR="00F71F95" w:rsidRPr="005B0B70" w:rsidRDefault="00F71F95" w:rsidP="00F71F95">
            <w:pPr>
              <w:pStyle w:val="Akapitzlist"/>
              <w:numPr>
                <w:ilvl w:val="0"/>
                <w:numId w:val="43"/>
              </w:numPr>
              <w:jc w:val="both"/>
              <w:rPr>
                <w:rFonts w:ascii="Cambria" w:hAnsi="Cambria"/>
                <w:bCs/>
                <w:sz w:val="22"/>
                <w:szCs w:val="16"/>
              </w:rPr>
            </w:pPr>
            <w:r w:rsidRPr="005B0B70">
              <w:rPr>
                <w:rFonts w:ascii="Cambria" w:hAnsi="Cambria"/>
                <w:bCs/>
                <w:sz w:val="22"/>
                <w:szCs w:val="16"/>
              </w:rPr>
              <w:t>autobus musi być przystosowany do zamontowania automatu do sprzedaży biletów;</w:t>
            </w:r>
          </w:p>
          <w:p w14:paraId="3875D9E0"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lokalizacja – w przestrzeni pasażerskiej w pobliżu drugich drzwi, zalecane usytuowanie naprzeciwko II drzwi, przed ścianą boczną, równolegle do osi pojazdu; </w:t>
            </w:r>
          </w:p>
          <w:p w14:paraId="1C3431C1"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autobus wyposażony w specjalny stelaż do montażu automatu wykonany i zamocowany do konstrukcji nadwozia w sposób bezpieczny dla pasażerów oraz zapewniający wymaganą sztywność i trwałość oraz bezpieczne zamontowanie urządzenia; </w:t>
            </w:r>
          </w:p>
          <w:p w14:paraId="1965889D"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instalacja elektryczna musi przewidywać podłączenie urządzenia w miejscu zamocowania (przewody poprowadzone wewnątrz stelaża do punktu mocowania); automat biletowy BM-102, wymiary (wysokość x szerokość x głębokość) – 500 x 350 x 180 mm, wysokość obudowy od podłogi 950 mm, masa około 30 kg, zasilanie DC 24V±30%;</w:t>
            </w:r>
          </w:p>
          <w:p w14:paraId="44E94889" w14:textId="6736BE28" w:rsidR="00F71F95" w:rsidRPr="005B0B70" w:rsidRDefault="00F71F95" w:rsidP="00F71F95">
            <w:pPr>
              <w:numPr>
                <w:ilvl w:val="0"/>
                <w:numId w:val="4"/>
              </w:numPr>
              <w:spacing w:after="0" w:line="240" w:lineRule="auto"/>
              <w:rPr>
                <w:rFonts w:ascii="Cambria" w:eastAsia="Times New Roman" w:hAnsi="Cambria" w:cs="Times New Roman"/>
                <w:bCs/>
                <w:szCs w:val="18"/>
                <w:lang w:eastAsia="pl-PL"/>
              </w:rPr>
            </w:pPr>
            <w:r w:rsidRPr="005B0B70">
              <w:rPr>
                <w:rFonts w:ascii="Cambria" w:eastAsia="Times New Roman" w:hAnsi="Cambria" w:cs="Times New Roman"/>
                <w:lang w:eastAsia="pl-PL"/>
              </w:rPr>
              <w:t>szczegóły dotyczące wykonania stelaża oraz sposobu montażu urządzenia, zostaną uzgodnione przed podpisaniem Umowy oraz przy produkcji pierwszej sztuki autobusu;</w:t>
            </w:r>
          </w:p>
        </w:tc>
      </w:tr>
      <w:tr w:rsidR="005B0B70" w:rsidRPr="005B0B70" w14:paraId="5B66065F" w14:textId="77777777" w:rsidTr="008B1FA0">
        <w:tc>
          <w:tcPr>
            <w:tcW w:w="379" w:type="dxa"/>
          </w:tcPr>
          <w:p w14:paraId="797D2603" w14:textId="77777777" w:rsidR="00A322F9" w:rsidRPr="005B0B70" w:rsidRDefault="00A322F9" w:rsidP="00C232FB">
            <w:pPr>
              <w:numPr>
                <w:ilvl w:val="0"/>
                <w:numId w:val="23"/>
              </w:numPr>
              <w:spacing w:after="0" w:line="240" w:lineRule="auto"/>
              <w:jc w:val="center"/>
              <w:rPr>
                <w:rFonts w:ascii="Cambria" w:eastAsia="Times New Roman" w:hAnsi="Cambria" w:cs="Times New Roman"/>
                <w:lang w:eastAsia="pl-PL"/>
              </w:rPr>
            </w:pPr>
          </w:p>
        </w:tc>
        <w:tc>
          <w:tcPr>
            <w:tcW w:w="1946" w:type="dxa"/>
          </w:tcPr>
          <w:p w14:paraId="512831B5" w14:textId="223FFD5D" w:rsidR="00A322F9" w:rsidRPr="005B0B70" w:rsidRDefault="00A322F9" w:rsidP="00A322F9">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System łączności radiowej</w:t>
            </w:r>
          </w:p>
        </w:tc>
        <w:tc>
          <w:tcPr>
            <w:tcW w:w="7882" w:type="dxa"/>
          </w:tcPr>
          <w:p w14:paraId="0E07C6E5" w14:textId="096B6BD9" w:rsidR="00A322F9" w:rsidRPr="005B0B70" w:rsidRDefault="00F71F95" w:rsidP="00F71F95">
            <w:pPr>
              <w:pStyle w:val="Akapitzlist"/>
              <w:numPr>
                <w:ilvl w:val="0"/>
                <w:numId w:val="32"/>
              </w:numPr>
              <w:ind w:left="298" w:hanging="277"/>
              <w:rPr>
                <w:rFonts w:ascii="Cambria" w:hAnsi="Cambria"/>
                <w:sz w:val="22"/>
                <w:szCs w:val="22"/>
              </w:rPr>
            </w:pPr>
            <w:r w:rsidRPr="005B0B70">
              <w:rPr>
                <w:rFonts w:ascii="Cambria" w:hAnsi="Cambria"/>
                <w:sz w:val="22"/>
                <w:szCs w:val="22"/>
              </w:rPr>
              <w:t xml:space="preserve">szczegółowy opis wymagań dotyczących zamontowania w autobusach systemu łączności radiowej przedstawiony został w załączniku nr </w:t>
            </w:r>
            <w:r w:rsidR="00A424A4" w:rsidRPr="005B0B70">
              <w:rPr>
                <w:rFonts w:ascii="Cambria" w:hAnsi="Cambria"/>
                <w:sz w:val="22"/>
                <w:szCs w:val="22"/>
              </w:rPr>
              <w:t>1.5.2</w:t>
            </w:r>
            <w:r w:rsidRPr="005B0B70">
              <w:rPr>
                <w:rFonts w:ascii="Cambria" w:hAnsi="Cambria"/>
                <w:sz w:val="22"/>
                <w:szCs w:val="22"/>
              </w:rPr>
              <w:t xml:space="preserve"> do SWZ;</w:t>
            </w:r>
          </w:p>
        </w:tc>
      </w:tr>
      <w:tr w:rsidR="005B0B70" w:rsidRPr="005B0B70" w14:paraId="569B3F7A" w14:textId="77777777" w:rsidTr="008B1FA0">
        <w:tc>
          <w:tcPr>
            <w:tcW w:w="379" w:type="dxa"/>
          </w:tcPr>
          <w:p w14:paraId="740F59C7" w14:textId="77777777" w:rsidR="00F71F95" w:rsidRPr="005B0B70" w:rsidRDefault="00F71F95" w:rsidP="00F71F95">
            <w:pPr>
              <w:numPr>
                <w:ilvl w:val="0"/>
                <w:numId w:val="23"/>
              </w:numPr>
              <w:spacing w:after="0" w:line="240" w:lineRule="auto"/>
              <w:jc w:val="center"/>
              <w:rPr>
                <w:rFonts w:ascii="Cambria" w:eastAsia="Times New Roman" w:hAnsi="Cambria" w:cs="Times New Roman"/>
                <w:lang w:eastAsia="pl-PL"/>
              </w:rPr>
            </w:pPr>
          </w:p>
        </w:tc>
        <w:tc>
          <w:tcPr>
            <w:tcW w:w="1946" w:type="dxa"/>
          </w:tcPr>
          <w:p w14:paraId="0BF41D62" w14:textId="4EF0E182" w:rsidR="00F71F95" w:rsidRPr="005B0B70" w:rsidRDefault="00F71F95" w:rsidP="00F71F95">
            <w:pPr>
              <w:spacing w:after="0" w:line="240" w:lineRule="auto"/>
              <w:rPr>
                <w:rFonts w:ascii="Cambria" w:eastAsia="Times New Roman" w:hAnsi="Cambria" w:cs="Times New Roman"/>
                <w:lang w:eastAsia="pl-PL"/>
              </w:rPr>
            </w:pPr>
            <w:r w:rsidRPr="005B0B70">
              <w:rPr>
                <w:rFonts w:ascii="Cambria" w:eastAsia="Times New Roman" w:hAnsi="Cambria" w:cs="Times New Roman"/>
                <w:lang w:eastAsia="pl-PL"/>
              </w:rPr>
              <w:t>Alko-blokada</w:t>
            </w:r>
          </w:p>
        </w:tc>
        <w:tc>
          <w:tcPr>
            <w:tcW w:w="7882" w:type="dxa"/>
          </w:tcPr>
          <w:p w14:paraId="7E4C4869" w14:textId="77777777" w:rsidR="00F71F95" w:rsidRPr="005B0B70" w:rsidRDefault="00F71F95" w:rsidP="00F71F95">
            <w:pPr>
              <w:spacing w:after="0" w:line="240" w:lineRule="auto"/>
              <w:rPr>
                <w:rFonts w:ascii="Cambria" w:eastAsia="Times New Roman" w:hAnsi="Cambria" w:cs="Times New Roman"/>
                <w:lang w:eastAsia="pl-PL"/>
              </w:rPr>
            </w:pPr>
            <w:r w:rsidRPr="005B0B70">
              <w:rPr>
                <w:rFonts w:asciiTheme="majorHAnsi" w:eastAsia="Times New Roman" w:hAnsiTheme="majorHAnsi" w:cs="Times New Roman"/>
                <w:lang w:eastAsia="pl-PL"/>
              </w:rPr>
              <w:t>autobus musi być wyposażony w urządzenie alko-blokady</w:t>
            </w:r>
            <w:r w:rsidRPr="005B0B70">
              <w:rPr>
                <w:rFonts w:ascii="Cambria" w:eastAsia="Times New Roman" w:hAnsi="Cambria" w:cs="Times New Roman"/>
                <w:lang w:eastAsia="pl-PL"/>
              </w:rPr>
              <w:t>:</w:t>
            </w:r>
          </w:p>
          <w:p w14:paraId="4F82F308" w14:textId="77777777" w:rsidR="00F71F95" w:rsidRPr="005B0B70" w:rsidRDefault="00F71F95" w:rsidP="00F71F95">
            <w:pPr>
              <w:numPr>
                <w:ilvl w:val="0"/>
                <w:numId w:val="41"/>
              </w:numPr>
              <w:spacing w:after="0" w:line="240" w:lineRule="auto"/>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uniemożliwiające uruchomienie silnika przez osoby pod wpływem alkoholu zarówno z miejsca kierowcy jak też dodatkowymi przyciskami serwisowymi np. w komorze silnika;</w:t>
            </w:r>
          </w:p>
          <w:p w14:paraId="6DB262BA" w14:textId="77777777" w:rsidR="00F71F95" w:rsidRPr="005B0B70" w:rsidRDefault="00F71F95" w:rsidP="00F71F95">
            <w:pPr>
              <w:numPr>
                <w:ilvl w:val="0"/>
                <w:numId w:val="41"/>
              </w:numPr>
              <w:spacing w:after="0" w:line="240" w:lineRule="auto"/>
              <w:ind w:left="357" w:hanging="357"/>
              <w:contextualSpacing/>
              <w:jc w:val="both"/>
              <w:rPr>
                <w:rFonts w:ascii="Cambria" w:eastAsia="Times New Roman" w:hAnsi="Cambria" w:cs="Times New Roman"/>
                <w:lang w:eastAsia="pl-PL"/>
              </w:rPr>
            </w:pPr>
            <w:r w:rsidRPr="005B0B70">
              <w:rPr>
                <w:rFonts w:ascii="Cambria" w:eastAsia="Times New Roman" w:hAnsi="Cambria" w:cs="Times New Roman"/>
                <w:lang w:eastAsia="pl-PL"/>
              </w:rPr>
              <w:t xml:space="preserve">posiadające możliwość czasowej dezaktywacji (np. przy wykonywaniu czynności serwisowych) przy pomocy specjalnej stacyjki umieszczonej w kabinie kierowcy. Urządzenia (np. stacyjka) do dezaktywacji blokady w sytuacjach awaryjnych muszą być tak zamontowane, aby maksymalnie zabezpieczyć użycie ich w sposób nieuprawniony. Miejsce oraz sposób montażu </w:t>
            </w:r>
            <w:r w:rsidRPr="005B0B70">
              <w:rPr>
                <w:rFonts w:ascii="Cambria" w:eastAsia="Times New Roman" w:hAnsi="Cambria" w:cs="Times New Roman"/>
                <w:lang w:eastAsia="pl-PL"/>
              </w:rPr>
              <w:lastRenderedPageBreak/>
              <w:t>urządzeń dezaktywacyjnych może być poprzedzony konsultacją z pracownikami Zamawiającego.</w:t>
            </w:r>
          </w:p>
          <w:p w14:paraId="6F827E31" w14:textId="77777777" w:rsidR="00F71F95" w:rsidRPr="005B0B70" w:rsidRDefault="00F71F95" w:rsidP="00F71F95">
            <w:pPr>
              <w:keepNext/>
              <w:keepLines/>
              <w:spacing w:beforeLines="80" w:before="192" w:after="0" w:line="240" w:lineRule="auto"/>
              <w:contextualSpacing/>
              <w:jc w:val="both"/>
              <w:outlineLvl w:val="3"/>
              <w:rPr>
                <w:rFonts w:ascii="Cambria" w:eastAsia="Times New Roman" w:hAnsi="Cambria" w:cs="Times New Roman"/>
                <w:bCs/>
                <w:lang w:eastAsia="pl-PL"/>
              </w:rPr>
            </w:pPr>
            <w:r w:rsidRPr="005B0B70">
              <w:rPr>
                <w:rFonts w:ascii="Cambria" w:eastAsia="Times New Roman" w:hAnsi="Cambria" w:cs="Times New Roman"/>
                <w:bCs/>
                <w:lang w:eastAsia="pl-PL"/>
              </w:rPr>
              <w:t>Wymagania ogólne Alkoblokady:</w:t>
            </w:r>
          </w:p>
          <w:p w14:paraId="7C300B1E"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autobusy wyposażone będą w system uniemożliwiający uruchomienie pojazdu przez osoby znajdujące się pod wpływem alkoholu;</w:t>
            </w:r>
          </w:p>
          <w:p w14:paraId="5A277EB3"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urządzenie systemowe posiadać będzie analizator wydechu i jednostkę sterującą rozruchem silnika autobusu;</w:t>
            </w:r>
          </w:p>
          <w:p w14:paraId="38347C29"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osobiste ustniki urządzenia w ilości 10szt. na autobus; ekologiczne - wielokrotnego użytku, łatwe do utrzymania w czystości w codziennym użytkowaniu (np. ponowne użycie możliwe po przepłukaniu wodą, bądź wodą z tzw. miękkim detergentem i osuszeniu);</w:t>
            </w:r>
          </w:p>
          <w:p w14:paraId="508BF048"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analizator wydechu zapewniający trwałą bezawaryjną eksploatację, odporny na działanie czynników zewnętrznych (wykonanie w standardzie niemniejszym niż IP65);</w:t>
            </w:r>
          </w:p>
          <w:p w14:paraId="238DED9F"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posiadać będzie możliwość dostosowania wybranych parametrów, w tym czasu na uruchomienie i czasu ponownego uruchomienia pojazdu bez konieczności wykonywania testu;</w:t>
            </w:r>
          </w:p>
          <w:p w14:paraId="16E1C315"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aktywował się będzie ponownie, co będzie skutkować koniecznością ponownego wykonania testu przed kolejnym uruchomieniem pojazdu, gdy nastąpi:</w:t>
            </w:r>
          </w:p>
          <w:p w14:paraId="6E05B9B1"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Zainicjowanie procesu zmiany prowadzących pojazd (użycie przycisku „zmiana” na sterowniku KP);</w:t>
            </w:r>
          </w:p>
          <w:p w14:paraId="6CB1BCED"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Wylogowanie prowadzącego pojazd;</w:t>
            </w:r>
          </w:p>
          <w:p w14:paraId="79A9B339"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Zdalna ponowna aktywacja systemu za pośrednictwem interfejsu.</w:t>
            </w:r>
          </w:p>
          <w:p w14:paraId="7E4D9DE5"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rejestrował będzie istotne dla Zamawiającego parametry i zdarzenia, w tym użycie, wynik pomiaru, nieuprawnioną ingerencję;</w:t>
            </w:r>
          </w:p>
          <w:p w14:paraId="02AF54B4"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umożliwiał będzie dwukierunkową komunikację on-line, w ramach której Zamawiający będzie otrzymywał rejestrowane przez system zdarzenia oraz będzie mógł zdalnie zarządzać systemem, w tym w zakresie jego aktywacji;</w:t>
            </w:r>
          </w:p>
          <w:p w14:paraId="1B513045"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funkcjonalność systemu nie może ograniczać zalogowania się do systemów autobusowych (SILiP, SMW itp.) od wykonania testu kierowcy na trzeźwość;  </w:t>
            </w:r>
          </w:p>
          <w:p w14:paraId="14B5875C"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prowadzenie dwukierunkowej komunikacji z systemem odbywać się będzie w środowisku informatycznym Zamawiającego i z wykorzystaniem przekazanego Zamawiającemu interfejsu użytkownika;</w:t>
            </w:r>
          </w:p>
          <w:p w14:paraId="1316990F"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zamawiający otrzyma prawo, bez ograniczeń czasowych, do korzystania z wdrożonych rozwiązań w zakresie zarządzania systemem, w tym ingerencji w nie, w celu dostosowania ich do własnych, także przyszłych potrzeb takich jak integracja z innymi systemami Zamawiającego.</w:t>
            </w:r>
          </w:p>
          <w:p w14:paraId="64FA969C" w14:textId="77777777" w:rsidR="00F71F95" w:rsidRPr="005B0B70" w:rsidRDefault="00F71F95" w:rsidP="00F71F95">
            <w:pPr>
              <w:spacing w:beforeLines="80" w:before="192" w:after="0" w:line="240" w:lineRule="auto"/>
              <w:contextualSpacing/>
              <w:jc w:val="both"/>
              <w:rPr>
                <w:rFonts w:ascii="Cambria" w:eastAsia="Times New Roman" w:hAnsi="Cambria" w:cs="Times New Roman"/>
                <w:bCs/>
                <w:lang w:eastAsia="ar-SA"/>
              </w:rPr>
            </w:pPr>
            <w:r w:rsidRPr="005B0B70">
              <w:rPr>
                <w:rFonts w:ascii="Cambria" w:eastAsia="Times New Roman" w:hAnsi="Cambria" w:cs="Times New Roman"/>
                <w:bCs/>
                <w:lang w:eastAsia="ar-SA"/>
              </w:rPr>
              <w:t>Wymagania dot. zarządzania systemem Alkoblokady.</w:t>
            </w:r>
          </w:p>
          <w:p w14:paraId="7C70C76B"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system oparty będzie o otwarte dla Zamawiającego interfejsy, także w formie udostępnienia Zamawiającemu API, zarówno w zakresie możliwości skomunikowania urządzeń systemowych z innymi autobusowymi systemami pokładowymi, jak i w zakresie dwukierunkowej komunikacji on-line i zarządzania systemem z wykorzystaniem interfejsu użytkownika;</w:t>
            </w:r>
          </w:p>
          <w:p w14:paraId="0D9F5187"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dwukierunkowa komunikacja i zarządzanie systemem odbywać się będzie w środowisku informatycznym Zamawiającego;</w:t>
            </w:r>
          </w:p>
          <w:p w14:paraId="3407730C"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Zamawiający udostępni niezbędną do wdrożenia systemu infrastrukturę informatyczną, w tym zasoby serwerowe, dostępy VPN;</w:t>
            </w:r>
          </w:p>
          <w:p w14:paraId="1CD56662"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zarządzanie systemem odbywać się będzie poprzez graficzny interfejs użytkownika, wykonany w technologii przeglądarkowej, umożliwiający jednoczesne korzystanie z niego min. 30 użytkownikom.</w:t>
            </w:r>
          </w:p>
          <w:p w14:paraId="41C57AF8" w14:textId="77777777" w:rsidR="00F71F95" w:rsidRPr="005B0B70" w:rsidRDefault="00F71F95" w:rsidP="00F71F95">
            <w:pPr>
              <w:numPr>
                <w:ilvl w:val="0"/>
                <w:numId w:val="28"/>
              </w:numPr>
              <w:spacing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Poprzez interfejs użytkownika będzie można min.:</w:t>
            </w:r>
          </w:p>
          <w:p w14:paraId="500B4CDE"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lastRenderedPageBreak/>
              <w:t>zidentyfikować urządzenie systemowe zgodnie z miejscem instalacji;</w:t>
            </w:r>
          </w:p>
          <w:p w14:paraId="5C90B325"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uzyskać informację o stanach urządzeń systemowych, w tym stan systemu przy ostatnim uruchomieniu pojazdu, aktualny stan systemu;</w:t>
            </w:r>
          </w:p>
          <w:p w14:paraId="36356BC2"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uzyskać informację o zdarzeniach zarejestrowanych przez urządzenia systemowe, w tym o negatywnym wyniku testu, nieautoryzowanej ingerencji, użyciu przycisku „zmiana”, uruchomieniu silnika bez wykonanego testu;</w:t>
            </w:r>
          </w:p>
          <w:p w14:paraId="0160601F" w14:textId="77777777"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eastAsia="Times New Roman" w:hAnsi="Cambria" w:cs="Times New Roman"/>
                <w:lang w:eastAsia="ar-SA"/>
              </w:rPr>
              <w:t>uzyskać dostęp do danych historycznych o stanach i zdarzeniach zarejestrowanych przez urządzenia systemowe i zaprezentować je w postaci raportów;</w:t>
            </w:r>
          </w:p>
          <w:p w14:paraId="7DCDAE0E" w14:textId="1D5FDAFA" w:rsidR="00F71F95" w:rsidRPr="005B0B70" w:rsidRDefault="00F71F95" w:rsidP="00F71F95">
            <w:pPr>
              <w:numPr>
                <w:ilvl w:val="2"/>
                <w:numId w:val="42"/>
              </w:numPr>
              <w:spacing w:beforeLines="80" w:before="192" w:after="0" w:line="240" w:lineRule="auto"/>
              <w:ind w:left="705"/>
              <w:contextualSpacing/>
              <w:jc w:val="both"/>
              <w:rPr>
                <w:rFonts w:ascii="Cambria" w:eastAsia="Times New Roman" w:hAnsi="Cambria" w:cs="Times New Roman"/>
                <w:lang w:eastAsia="ar-SA"/>
              </w:rPr>
            </w:pPr>
            <w:r w:rsidRPr="005B0B70">
              <w:rPr>
                <w:rFonts w:ascii="Cambria" w:hAnsi="Cambria"/>
                <w:lang w:eastAsia="ar-SA"/>
              </w:rPr>
              <w:t>dokonać ponownej aktywacji urządzeń systemowych.</w:t>
            </w:r>
          </w:p>
        </w:tc>
      </w:tr>
      <w:tr w:rsidR="005B0B70" w:rsidRPr="005B0B70" w14:paraId="3E336A65" w14:textId="77777777" w:rsidTr="008B1FA0">
        <w:tc>
          <w:tcPr>
            <w:tcW w:w="379" w:type="dxa"/>
          </w:tcPr>
          <w:p w14:paraId="05542D54" w14:textId="77777777" w:rsidR="00F71F95" w:rsidRPr="005B0B70" w:rsidRDefault="00F71F95" w:rsidP="00F71F95">
            <w:pPr>
              <w:numPr>
                <w:ilvl w:val="0"/>
                <w:numId w:val="23"/>
              </w:numPr>
              <w:spacing w:after="0" w:line="240" w:lineRule="auto"/>
              <w:jc w:val="center"/>
              <w:rPr>
                <w:rFonts w:ascii="Cambria" w:eastAsia="Times New Roman" w:hAnsi="Cambria" w:cs="Times New Roman"/>
                <w:lang w:eastAsia="pl-PL"/>
              </w:rPr>
            </w:pPr>
            <w:bookmarkStart w:id="3" w:name="_Hlk170984804"/>
          </w:p>
        </w:tc>
        <w:tc>
          <w:tcPr>
            <w:tcW w:w="1946" w:type="dxa"/>
          </w:tcPr>
          <w:p w14:paraId="095BA578" w14:textId="4D91FD3F" w:rsidR="00F71F95" w:rsidRPr="005B0B70" w:rsidRDefault="00F71F95" w:rsidP="00F71F95">
            <w:pPr>
              <w:spacing w:after="0" w:line="240" w:lineRule="auto"/>
              <w:rPr>
                <w:rFonts w:ascii="Cambria" w:eastAsia="Times New Roman" w:hAnsi="Cambria" w:cs="Times New Roman"/>
                <w:bCs/>
                <w:szCs w:val="18"/>
                <w:lang w:eastAsia="pl-PL"/>
              </w:rPr>
            </w:pPr>
            <w:r w:rsidRPr="005B0B70">
              <w:rPr>
                <w:rFonts w:ascii="Cambria" w:eastAsia="Times New Roman" w:hAnsi="Cambria" w:cs="Times New Roman"/>
                <w:bCs/>
                <w:szCs w:val="18"/>
                <w:lang w:eastAsia="pl-PL"/>
              </w:rPr>
              <w:t xml:space="preserve">Panele </w:t>
            </w:r>
            <w:r w:rsidR="00A45EB8" w:rsidRPr="005B0B70">
              <w:rPr>
                <w:rFonts w:ascii="Cambria" w:eastAsia="Times New Roman" w:hAnsi="Cambria" w:cs="Times New Roman"/>
                <w:bCs/>
                <w:szCs w:val="18"/>
                <w:lang w:eastAsia="pl-PL"/>
              </w:rPr>
              <w:t>fotowoltaiczne,</w:t>
            </w:r>
            <w:r w:rsidRPr="005B0B70">
              <w:rPr>
                <w:rFonts w:ascii="Cambria" w:eastAsia="Times New Roman" w:hAnsi="Cambria" w:cs="Times New Roman"/>
                <w:bCs/>
                <w:szCs w:val="18"/>
                <w:lang w:eastAsia="pl-PL"/>
              </w:rPr>
              <w:t xml:space="preserve"> jeśli wystąpią*</w:t>
            </w:r>
          </w:p>
        </w:tc>
        <w:tc>
          <w:tcPr>
            <w:tcW w:w="7882" w:type="dxa"/>
          </w:tcPr>
          <w:p w14:paraId="1BBD09F3" w14:textId="6D324BB0" w:rsidR="00F71F95" w:rsidRPr="005B0B70" w:rsidRDefault="00F71F95" w:rsidP="00AD6804">
            <w:pPr>
              <w:pStyle w:val="Akapitzlist"/>
              <w:numPr>
                <w:ilvl w:val="0"/>
                <w:numId w:val="32"/>
              </w:numPr>
              <w:ind w:left="304" w:hanging="283"/>
              <w:jc w:val="both"/>
              <w:rPr>
                <w:rFonts w:ascii="Cambria" w:hAnsi="Cambria"/>
                <w:bCs/>
                <w:szCs w:val="18"/>
              </w:rPr>
            </w:pPr>
            <w:r w:rsidRPr="005B0B70">
              <w:rPr>
                <w:rFonts w:ascii="Cambria" w:hAnsi="Cambria"/>
                <w:bCs/>
                <w:sz w:val="22"/>
                <w:szCs w:val="14"/>
              </w:rPr>
              <w:t xml:space="preserve">Wyposażony w panele fotowoltaiczne, umieszczone na dachu, włączone w instalację elektryczną autobusu, służące do ograniczenia zużycia energii przez pojazd, wyposażone w przetwornicę napięcia, z możliwością zdalnego(on-line) przesyłania i odczytu danych dotyczących wyprodukowanej energii przez system paneli fotowoltaicznych.  Sposób oraz częstotliwość ich przesyłania zostaną określone w trybie roboczym przed dostawą pierwszej partii autobusów. Instalacja paneli uwzględniona będzie przy ocenie oferty zgodnie z Rozdziałem 18 SWZ, jako osobne kryterium oceny „panele fotowoltaiczne”. </w:t>
            </w:r>
          </w:p>
        </w:tc>
      </w:tr>
      <w:bookmarkEnd w:id="3"/>
    </w:tbl>
    <w:p w14:paraId="1CDF16D8" w14:textId="77777777" w:rsidR="00877A35" w:rsidRPr="005B0B70" w:rsidRDefault="00877A35" w:rsidP="00877A35">
      <w:pPr>
        <w:keepNext/>
        <w:spacing w:before="120" w:after="0" w:line="240" w:lineRule="auto"/>
        <w:jc w:val="both"/>
        <w:outlineLvl w:val="4"/>
        <w:rPr>
          <w:rFonts w:ascii="Cambria" w:eastAsia="Times New Roman" w:hAnsi="Cambria" w:cs="Times New Roman"/>
          <w:b/>
          <w:szCs w:val="20"/>
          <w:u w:val="single"/>
          <w:lang w:eastAsia="pl-PL"/>
        </w:rPr>
      </w:pPr>
    </w:p>
    <w:p w14:paraId="1F8A397D" w14:textId="77777777" w:rsidR="006E5546" w:rsidRPr="005B0B70" w:rsidRDefault="006E5546" w:rsidP="006E5546">
      <w:pPr>
        <w:keepNext/>
        <w:spacing w:before="120" w:after="0" w:line="240" w:lineRule="auto"/>
        <w:jc w:val="both"/>
        <w:outlineLvl w:val="4"/>
        <w:rPr>
          <w:rFonts w:ascii="Cambria" w:eastAsia="Times New Roman" w:hAnsi="Cambria" w:cs="Times New Roman"/>
          <w:b/>
          <w:szCs w:val="20"/>
          <w:u w:val="single"/>
          <w:lang w:eastAsia="pl-PL"/>
        </w:rPr>
      </w:pPr>
      <w:r w:rsidRPr="005B0B70">
        <w:rPr>
          <w:rFonts w:ascii="Cambria" w:eastAsia="Times New Roman" w:hAnsi="Cambria" w:cs="Times New Roman"/>
          <w:b/>
          <w:szCs w:val="20"/>
          <w:u w:val="single"/>
          <w:lang w:eastAsia="pl-PL"/>
        </w:rPr>
        <w:t>V.  Wyposażenie dodatkowe</w:t>
      </w:r>
    </w:p>
    <w:p w14:paraId="14CC3E43" w14:textId="77777777" w:rsidR="006E5546" w:rsidRPr="005B0B70" w:rsidRDefault="006E5546" w:rsidP="00C232FB">
      <w:pPr>
        <w:numPr>
          <w:ilvl w:val="0"/>
          <w:numId w:val="25"/>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Zaczepy holownicze przednie i tylne, umiejscowione w specjalnym uchwycie zainstalowanym pod którąś z zewnętrznych klap obsługowych (zalecane umiejscowienie w okolicach mocowania zaczepów w przedniej lub tylnej części pojazdu).</w:t>
      </w:r>
    </w:p>
    <w:p w14:paraId="7A7D5F9C" w14:textId="6ABF19B7" w:rsidR="006E5546" w:rsidRPr="005B0B70" w:rsidRDefault="006E5546"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Lusterka zewnętrzne – pojazd wyposażony w system lusterek cyfrowych/wirtualnych odwzorowujący działanie klasycznych luster zewnętrznych wymaganych przepisami prawa dla pojazdów klasy M</w:t>
      </w:r>
      <w:r w:rsidRPr="005B0B70">
        <w:rPr>
          <w:rFonts w:ascii="Cambria" w:eastAsia="Times New Roman" w:hAnsi="Cambria" w:cs="Times New Roman"/>
          <w:szCs w:val="20"/>
          <w:vertAlign w:val="subscript"/>
          <w:lang w:eastAsia="pl-PL"/>
        </w:rPr>
        <w:t>3</w:t>
      </w:r>
      <w:r w:rsidRPr="005B0B70">
        <w:rPr>
          <w:rFonts w:ascii="Cambria" w:eastAsia="Times New Roman" w:hAnsi="Cambria" w:cs="Times New Roman"/>
          <w:szCs w:val="20"/>
          <w:lang w:eastAsia="pl-PL"/>
        </w:rPr>
        <w:t>, oparty o kamery (zewnętrzne) i monitory (wewnętrzne) z prawej i</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lewej strony pojazdu, umożliwiające obserwację pośrednią w czasie rzeczywistym strefy znajdującej się z lewej i prawej strony kamery skierowane w kierunku tylnym, bocznym pojazdu, mocowanie kamer zapewniające ich trwałość i bezawaryjność, na wspornikach</w:t>
      </w:r>
      <w:r w:rsidRPr="005B0B70" w:rsidDel="004F7FE6">
        <w:rPr>
          <w:rFonts w:ascii="Cambria" w:eastAsia="Times New Roman" w:hAnsi="Cambria" w:cs="Times New Roman"/>
          <w:szCs w:val="20"/>
          <w:lang w:eastAsia="pl-PL"/>
        </w:rPr>
        <w:t xml:space="preserve"> </w:t>
      </w:r>
      <w:r w:rsidRPr="005B0B70">
        <w:rPr>
          <w:rFonts w:ascii="Cambria" w:eastAsia="Times New Roman" w:hAnsi="Cambria" w:cs="Times New Roman"/>
          <w:szCs w:val="20"/>
          <w:lang w:eastAsia="pl-PL"/>
        </w:rPr>
        <w:t>umożliwiających mycie autobusu na myjni mechanicznej szczotkowej bez ich zdejmowania i zapewniające nie uszkodzenie infrastruktury Zamawiającego, dopuszcza się wsporniki składane przy czym wymagana jest łatwość składania bez użycia narzędzi</w:t>
      </w:r>
      <w:r w:rsidR="00581CC0" w:rsidRPr="005B0B70">
        <w:rPr>
          <w:rFonts w:ascii="Cambria" w:eastAsia="Times New Roman" w:hAnsi="Cambria" w:cs="Times New Roman"/>
          <w:szCs w:val="20"/>
          <w:lang w:eastAsia="pl-PL"/>
        </w:rPr>
        <w:t xml:space="preserve"> (w takim przypadku zalecane zastosowanie wsporników kamer zewnętrznych z elektrycznym mechanizmem składania)</w:t>
      </w:r>
      <w:r w:rsidRPr="005B0B70">
        <w:rPr>
          <w:rFonts w:ascii="Cambria" w:eastAsia="Times New Roman" w:hAnsi="Cambria" w:cs="Times New Roman"/>
          <w:szCs w:val="20"/>
          <w:lang w:eastAsia="pl-PL"/>
        </w:rPr>
        <w:t xml:space="preserve">. </w:t>
      </w:r>
      <w:r w:rsidRPr="005B0B70" w:rsidDel="004F7FE6">
        <w:rPr>
          <w:rFonts w:ascii="Cambria" w:eastAsia="Times New Roman" w:hAnsi="Cambria" w:cs="Times New Roman"/>
          <w:szCs w:val="20"/>
          <w:lang w:eastAsia="pl-PL"/>
        </w:rPr>
        <w:t xml:space="preserve"> </w:t>
      </w:r>
    </w:p>
    <w:p w14:paraId="36C9EA9E" w14:textId="44CEA906" w:rsidR="006E5546" w:rsidRPr="005B0B70" w:rsidRDefault="006E5546" w:rsidP="00C232FB">
      <w:pPr>
        <w:numPr>
          <w:ilvl w:val="0"/>
          <w:numId w:val="26"/>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Widok na ekranach monitorów z kamer luster głównych prawego i lewego regulowany elektrycznie/elektronicznie z miejsca kierowcy, zapewniający niezakłócony, stały widok z kamer, zapewniający samoczynną eliminację czynników zewnętrznych w różnych</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 xml:space="preserve">warunkach drogowych (np. wizjer kamery podgrzewany, odporny na działanie wody i kurzu) </w:t>
      </w:r>
    </w:p>
    <w:p w14:paraId="7B3A8E7B" w14:textId="2D3B1E57" w:rsidR="006E5546" w:rsidRPr="005B0B70" w:rsidRDefault="006E5546" w:rsidP="00C232FB">
      <w:pPr>
        <w:numPr>
          <w:ilvl w:val="0"/>
          <w:numId w:val="26"/>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Dodatkowy ekran kamery do obserwacji krawędzi jezdni po prawej stronie, kamera bliskiego </w:t>
      </w:r>
      <w:r w:rsidR="00AB618F" w:rsidRPr="005B0B70">
        <w:rPr>
          <w:rFonts w:ascii="Cambria" w:eastAsia="Times New Roman" w:hAnsi="Cambria" w:cs="Times New Roman"/>
          <w:szCs w:val="20"/>
          <w:lang w:eastAsia="pl-PL"/>
        </w:rPr>
        <w:t>zasięgu,</w:t>
      </w:r>
      <w:r w:rsidRPr="005B0B70">
        <w:rPr>
          <w:rFonts w:ascii="Cambria" w:eastAsia="Times New Roman" w:hAnsi="Cambria" w:cs="Times New Roman"/>
          <w:szCs w:val="20"/>
          <w:lang w:eastAsia="pl-PL"/>
        </w:rPr>
        <w:t xml:space="preserve"> podgrzewane, kamera ekranu umieszczona we wspólnej obudowie z</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prawą kamerą główną (zalecane ustawianie widoku kamery sterowane elektrycznie z</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 xml:space="preserve">miejsca kierowcy), </w:t>
      </w:r>
    </w:p>
    <w:p w14:paraId="1078F1C8" w14:textId="77777777" w:rsidR="006E5546" w:rsidRPr="005B0B70" w:rsidRDefault="006E5546" w:rsidP="00C232FB">
      <w:pPr>
        <w:numPr>
          <w:ilvl w:val="0"/>
          <w:numId w:val="26"/>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Wymagana instalacja monitorów na prawym i lewym słupku czołowym w kabinie kierowcy.</w:t>
      </w:r>
    </w:p>
    <w:p w14:paraId="62C6AA9F" w14:textId="1FD2B87D" w:rsidR="00877A35" w:rsidRPr="005B0B70" w:rsidRDefault="006E5546" w:rsidP="00C232FB">
      <w:pPr>
        <w:numPr>
          <w:ilvl w:val="0"/>
          <w:numId w:val="25"/>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Lusterka wewnętrzne – 3 sztuki (dwie </w:t>
      </w:r>
      <w:r w:rsidR="00877A35" w:rsidRPr="005B0B70">
        <w:rPr>
          <w:rFonts w:ascii="Cambria" w:eastAsia="Times New Roman" w:hAnsi="Cambria" w:cs="Times New Roman"/>
          <w:szCs w:val="20"/>
          <w:lang w:eastAsia="pl-PL"/>
        </w:rPr>
        <w:t>sztuki z przodu autobusu – umożliwiające obserwację przestrzeni pasażerskiej oraz rejonu drugich drzwi, trzecia przy drugich drzwiach – umożliwiająca obserwację wejścia).</w:t>
      </w:r>
    </w:p>
    <w:p w14:paraId="7A8C737F"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lastRenderedPageBreak/>
        <w:t xml:space="preserve">Inne urządzenia do pośredniego widzenia – urządzenie typu kamera-monitor, wykorzystujące ekran LCD panelu sterującego umieszczonego na stanowisku kierowcy oraz odpowiednie kamery z systemu monitoringu wizyjnego zamontowane w autobusie: </w:t>
      </w:r>
    </w:p>
    <w:p w14:paraId="7937C8E4" w14:textId="46E9EECF"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Pozwalające kierowcy zauważyć ze swojego miejsca obecność pasażera znajdującego się, zarówno na zewnątrz jak i wewnątrz pojazdu, w bezpośrednim sąsiedztwie drzwi III i IV po każdej ze stron – obraz z odpowiednich kamer musi pojawić się automatycznie na ekranie panelu kierowcy w </w:t>
      </w:r>
      <w:r w:rsidR="00AB618F" w:rsidRPr="005B0B70">
        <w:rPr>
          <w:rFonts w:ascii="Cambria" w:eastAsia="Times New Roman" w:hAnsi="Cambria" w:cs="Times New Roman"/>
          <w:szCs w:val="20"/>
          <w:lang w:eastAsia="pl-PL"/>
        </w:rPr>
        <w:t>momencie,</w:t>
      </w:r>
      <w:r w:rsidRPr="005B0B70">
        <w:rPr>
          <w:rFonts w:ascii="Cambria" w:eastAsia="Times New Roman" w:hAnsi="Cambria" w:cs="Times New Roman"/>
          <w:szCs w:val="20"/>
          <w:lang w:eastAsia="pl-PL"/>
        </w:rPr>
        <w:t xml:space="preserve"> gdy drzwi III lub IV są otwarte,</w:t>
      </w:r>
    </w:p>
    <w:p w14:paraId="6C22D979" w14:textId="77777777"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do obserwacji strefy z tyłu autobusu podczas cofania – obraz z kamery musi pojawić się automatycznie na ekranie w momencie załączenia przez kierowcę biegu wstecznego, prezentowany obraz musi być zorientowany identycznie z widokiem obserwowanym przez kierowcę w lusterkach wstecznych (mirror),</w:t>
      </w:r>
    </w:p>
    <w:p w14:paraId="0FFDE089" w14:textId="7E6B117A"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w </w:t>
      </w:r>
      <w:r w:rsidR="0032754A" w:rsidRPr="005B0B70">
        <w:rPr>
          <w:rFonts w:ascii="Cambria" w:eastAsia="Times New Roman" w:hAnsi="Cambria" w:cs="Times New Roman"/>
          <w:szCs w:val="20"/>
          <w:lang w:eastAsia="pl-PL"/>
        </w:rPr>
        <w:t>czasie,</w:t>
      </w:r>
      <w:r w:rsidRPr="005B0B70">
        <w:rPr>
          <w:rFonts w:ascii="Cambria" w:eastAsia="Times New Roman" w:hAnsi="Cambria" w:cs="Times New Roman"/>
          <w:szCs w:val="20"/>
          <w:lang w:eastAsia="pl-PL"/>
        </w:rPr>
        <w:t xml:space="preserve"> gdy nie są otwarte drzwi III lub IV albo gdy nie jest załączony bieg wsteczny, na ekranie panelu kierowcy nie może być wyświetlany żaden obraz z kamer systemu monitoringu wizyjnego.</w:t>
      </w:r>
    </w:p>
    <w:p w14:paraId="199B98B3"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Uchwyty na chorągiewki, przystosowane do chorągiewek o średnicy trzonka 16 mm, umiejscowione w górnej części uchwytu lusterek bocznych lub górnym obrysie autobusu po lewej i prawej stronie.</w:t>
      </w:r>
    </w:p>
    <w:p w14:paraId="013DD5F6"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Łącznik pośredni do zaczepu holowniczego, umożliwiający zamocowanie holu sztywnego przed zderzakiem (jeśli jest przewidywany) – 5 sztuk.</w:t>
      </w:r>
    </w:p>
    <w:p w14:paraId="3C45E40F"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Kluczyk do stacyjki (do uruchamiania autobusu) identyczny dla wszystkich autobusów w dostawie.</w:t>
      </w:r>
    </w:p>
    <w:p w14:paraId="604AD4F0" w14:textId="2C43E775" w:rsidR="00877A35" w:rsidRPr="005B0B70" w:rsidRDefault="006F6946" w:rsidP="00C232FB">
      <w:pPr>
        <w:numPr>
          <w:ilvl w:val="0"/>
          <w:numId w:val="25"/>
        </w:numPr>
        <w:spacing w:before="120" w:after="0" w:line="240" w:lineRule="auto"/>
        <w:ind w:left="357" w:hanging="357"/>
        <w:jc w:val="both"/>
        <w:rPr>
          <w:rFonts w:ascii="Cambria" w:eastAsia="Times New Roman" w:hAnsi="Cambria" w:cs="Times New Roman"/>
          <w:lang w:eastAsia="pl-PL"/>
        </w:rPr>
      </w:pPr>
      <w:r w:rsidRPr="005B0B70">
        <w:rPr>
          <w:rFonts w:ascii="Cambria" w:eastAsia="Times New Roman" w:hAnsi="Cambria" w:cs="Times New Roman"/>
          <w:lang w:eastAsia="pl-PL"/>
        </w:rPr>
        <w:t xml:space="preserve"> Oznaczone k</w:t>
      </w:r>
      <w:r w:rsidR="00877A35" w:rsidRPr="005B0B70">
        <w:rPr>
          <w:rFonts w:ascii="Cambria" w:eastAsia="Times New Roman" w:hAnsi="Cambria" w:cs="Times New Roman"/>
          <w:lang w:eastAsia="pl-PL"/>
        </w:rPr>
        <w:t>lucze indywidualne do wszystkich zamków zastosowanych w autobusie (drzwi, schowki itp.), w liczbie dwóch kompletów do każdego autobusu. Drzwi wejściowe oraz drzwi kabiny kierowcy zamykane jednym kluczem (zastosowanie osobnych kluczy jest dopuszczalne wyłącznie z przyczyn technicznych).</w:t>
      </w:r>
    </w:p>
    <w:p w14:paraId="31D7D70D" w14:textId="38FC4414"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Klucz serwisowy typowy, do wszystkich pozostałych zamków zastosowanych w autobusie (np. typu „kwadrat” wewnętrzny, zewnętrzny itp.) – </w:t>
      </w:r>
      <w:r w:rsidR="006F6946" w:rsidRPr="005B0B70">
        <w:rPr>
          <w:rFonts w:ascii="Cambria" w:eastAsia="Times New Roman" w:hAnsi="Cambria" w:cs="Times New Roman"/>
          <w:szCs w:val="20"/>
          <w:lang w:eastAsia="pl-PL"/>
        </w:rPr>
        <w:t>dwie</w:t>
      </w:r>
      <w:r w:rsidRPr="005B0B70">
        <w:rPr>
          <w:rFonts w:ascii="Cambria" w:eastAsia="Times New Roman" w:hAnsi="Cambria" w:cs="Times New Roman"/>
          <w:szCs w:val="20"/>
          <w:lang w:eastAsia="pl-PL"/>
        </w:rPr>
        <w:t xml:space="preserve"> sztuk</w:t>
      </w:r>
      <w:r w:rsidR="006F6946" w:rsidRPr="005B0B70">
        <w:rPr>
          <w:rFonts w:ascii="Cambria" w:eastAsia="Times New Roman" w:hAnsi="Cambria" w:cs="Times New Roman"/>
          <w:szCs w:val="20"/>
          <w:lang w:eastAsia="pl-PL"/>
        </w:rPr>
        <w:t>i</w:t>
      </w:r>
      <w:r w:rsidRPr="005B0B70">
        <w:rPr>
          <w:rFonts w:ascii="Cambria" w:eastAsia="Times New Roman" w:hAnsi="Cambria" w:cs="Times New Roman"/>
          <w:szCs w:val="20"/>
          <w:lang w:eastAsia="pl-PL"/>
        </w:rPr>
        <w:t xml:space="preserve"> do każdego autobusu.</w:t>
      </w:r>
    </w:p>
    <w:p w14:paraId="4061DBB9"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lang w:eastAsia="pl-PL"/>
        </w:rPr>
      </w:pPr>
      <w:r w:rsidRPr="005B0B70">
        <w:rPr>
          <w:rFonts w:ascii="Cambria" w:eastAsia="Times New Roman" w:hAnsi="Cambria" w:cs="Times New Roman"/>
          <w:lang w:eastAsia="pl-PL"/>
        </w:rPr>
        <w:t xml:space="preserve">Klucze serwisowe tzw. „patentowe”: do schowka rejestratora </w:t>
      </w:r>
      <w:r w:rsidRPr="005B0B70">
        <w:rPr>
          <w:rFonts w:ascii="Cambria" w:eastAsia="Times New Roman" w:hAnsi="Cambria" w:cs="Times New Roman"/>
          <w:szCs w:val="20"/>
          <w:lang w:eastAsia="pl-PL"/>
        </w:rPr>
        <w:t>systemu monitoringu wizyjnego</w:t>
      </w:r>
      <w:r w:rsidRPr="005B0B70">
        <w:rPr>
          <w:rFonts w:ascii="Cambria" w:eastAsia="Times New Roman" w:hAnsi="Cambria" w:cs="Times New Roman"/>
          <w:lang w:eastAsia="pl-PL"/>
        </w:rPr>
        <w:t xml:space="preserve">, do nośnika danych </w:t>
      </w:r>
      <w:r w:rsidRPr="005B0B70">
        <w:rPr>
          <w:rFonts w:ascii="Cambria" w:eastAsia="Times New Roman" w:hAnsi="Cambria" w:cs="Times New Roman"/>
          <w:szCs w:val="20"/>
          <w:lang w:eastAsia="pl-PL"/>
        </w:rPr>
        <w:t xml:space="preserve">systemu monitoringu wizyjnego </w:t>
      </w:r>
      <w:r w:rsidRPr="005B0B70">
        <w:rPr>
          <w:rFonts w:ascii="Cambria" w:eastAsia="Times New Roman" w:hAnsi="Cambria" w:cs="Times New Roman"/>
          <w:lang w:eastAsia="pl-PL"/>
        </w:rPr>
        <w:t>oraz do nośnika danych systemu wizualizacji reklam i ogłoszeń – łącznie minimum 11 sztuk każdego rodzaju (klucze każdego rodzaju identyczne dla wszystkich autobusów w dostawie).</w:t>
      </w:r>
    </w:p>
    <w:p w14:paraId="0537256C"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Gaśnice (2 x 6 kg), trójkąt ostrzegawczy, apteczka (umieszczone w kabinie kierowcy).</w:t>
      </w:r>
    </w:p>
    <w:p w14:paraId="2FA35236" w14:textId="77777777" w:rsidR="00877A35" w:rsidRPr="005B0B70" w:rsidRDefault="00877A35" w:rsidP="00C232FB">
      <w:pPr>
        <w:numPr>
          <w:ilvl w:val="0"/>
          <w:numId w:val="25"/>
        </w:numPr>
        <w:spacing w:before="120" w:after="0" w:line="240" w:lineRule="auto"/>
        <w:ind w:left="357" w:hanging="357"/>
        <w:jc w:val="both"/>
        <w:rPr>
          <w:rFonts w:ascii="Cambria" w:eastAsia="Times New Roman" w:hAnsi="Cambria" w:cs="Times New Roman"/>
          <w:lang w:eastAsia="pl-PL"/>
        </w:rPr>
      </w:pPr>
      <w:r w:rsidRPr="005B0B70">
        <w:rPr>
          <w:rFonts w:ascii="Cambria" w:eastAsia="Times New Roman" w:hAnsi="Cambria" w:cs="Times New Roman"/>
          <w:szCs w:val="24"/>
          <w:lang w:eastAsia="pl-PL"/>
        </w:rPr>
        <w:t>Wyposażenie autobusu w hak holowniczy z ewentualna przedłużką, zamocowany w autobusie w miejscu łatwo dostępnym np. w komorze silnikowej.</w:t>
      </w:r>
    </w:p>
    <w:p w14:paraId="2795C161" w14:textId="2FDCE0C0" w:rsidR="00877A35" w:rsidRPr="005B0B70" w:rsidRDefault="00877A35"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Wyposażenie autobusu w przestrzeni pasażerskiej, w miejscu łatwo dostępnym, w „Kartę Ratowniczą”</w:t>
      </w:r>
      <w:r w:rsidR="006F6946" w:rsidRPr="005B0B70">
        <w:rPr>
          <w:rFonts w:ascii="Cambria" w:eastAsia="Times New Roman" w:hAnsi="Cambria" w:cs="Times New Roman"/>
          <w:lang w:eastAsia="pl-PL"/>
        </w:rPr>
        <w:t xml:space="preserve">, lokalizacja po podpisaniu umowy przy sprawdzeniu pierwszej sztuki. </w:t>
      </w:r>
    </w:p>
    <w:p w14:paraId="37285EF6" w14:textId="77777777" w:rsidR="00877A35" w:rsidRPr="005B0B70" w:rsidRDefault="00877A35"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szCs w:val="24"/>
          <w:lang w:eastAsia="pl-PL"/>
        </w:rPr>
        <w:t xml:space="preserve">Akumulator do Systemu Informacji Pasażerskiej typu </w:t>
      </w:r>
      <w:r w:rsidRPr="005B0B70">
        <w:rPr>
          <w:rFonts w:ascii="Cambria" w:eastAsia="Times New Roman" w:hAnsi="Cambria" w:cs="Times New Roman"/>
          <w:i/>
          <w:iCs/>
          <w:szCs w:val="24"/>
          <w:lang w:eastAsia="pl-PL"/>
        </w:rPr>
        <w:t>Enhanced Flooded Battery</w:t>
      </w:r>
      <w:r w:rsidRPr="005B0B70">
        <w:rPr>
          <w:rFonts w:ascii="Cambria" w:eastAsia="Times New Roman" w:hAnsi="Cambria" w:cs="Times New Roman"/>
          <w:szCs w:val="24"/>
          <w:lang w:eastAsia="pl-PL"/>
        </w:rPr>
        <w:t>, gwarancja co najmniej 2 lata.</w:t>
      </w:r>
    </w:p>
    <w:p w14:paraId="22CFCA1A" w14:textId="7A220FBA" w:rsidR="00877A35" w:rsidRPr="005B0B70" w:rsidRDefault="00877A35"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szCs w:val="24"/>
          <w:lang w:eastAsia="pl-PL"/>
        </w:rPr>
        <w:t>Punkty umiejscowienia podpór stałych, rozmieszczone równomiernie na całej długości pojazdu, odpowiednio wzmocnione. Kształt ww. będzie ustalony po podpisaniu Umowy w</w:t>
      </w:r>
      <w:r w:rsidR="00F71F95" w:rsidRPr="005B0B70">
        <w:rPr>
          <w:rFonts w:ascii="Cambria" w:eastAsia="Times New Roman" w:hAnsi="Cambria" w:cs="Times New Roman"/>
          <w:szCs w:val="24"/>
          <w:lang w:eastAsia="pl-PL"/>
        </w:rPr>
        <w:t> </w:t>
      </w:r>
      <w:r w:rsidRPr="005B0B70">
        <w:rPr>
          <w:rFonts w:ascii="Cambria" w:eastAsia="Times New Roman" w:hAnsi="Cambria" w:cs="Times New Roman"/>
          <w:szCs w:val="24"/>
          <w:lang w:eastAsia="pl-PL"/>
        </w:rPr>
        <w:t>trybie roboczym.</w:t>
      </w:r>
    </w:p>
    <w:p w14:paraId="74E807EE" w14:textId="77777777" w:rsidR="00D05614" w:rsidRPr="005B0B70" w:rsidRDefault="00D05614" w:rsidP="00D05614">
      <w:pPr>
        <w:numPr>
          <w:ilvl w:val="0"/>
          <w:numId w:val="25"/>
        </w:numPr>
        <w:spacing w:before="120" w:after="0" w:line="240" w:lineRule="auto"/>
        <w:jc w:val="both"/>
        <w:rPr>
          <w:rFonts w:ascii="Cambria" w:eastAsia="Times New Roman" w:hAnsi="Cambria" w:cs="Times New Roman"/>
          <w:lang w:eastAsia="pl-PL"/>
        </w:rPr>
      </w:pPr>
      <w:bookmarkStart w:id="4" w:name="_Hlk189737233"/>
      <w:r w:rsidRPr="005B0B70">
        <w:rPr>
          <w:rFonts w:ascii="Cambria" w:eastAsia="Times New Roman" w:hAnsi="Cambria" w:cs="Times New Roman"/>
          <w:lang w:eastAsia="pl-PL"/>
        </w:rPr>
        <w:t>Diagnostyka online:</w:t>
      </w:r>
    </w:p>
    <w:p w14:paraId="048527A8" w14:textId="77777777" w:rsidR="00D05614" w:rsidRPr="005B0B70" w:rsidRDefault="00D05614" w:rsidP="00D05614">
      <w:pPr>
        <w:pStyle w:val="Akapitzlist"/>
        <w:numPr>
          <w:ilvl w:val="0"/>
          <w:numId w:val="37"/>
        </w:numPr>
        <w:spacing w:before="120"/>
        <w:jc w:val="both"/>
        <w:rPr>
          <w:rFonts w:ascii="Cambria" w:hAnsi="Cambria"/>
          <w:sz w:val="22"/>
          <w:szCs w:val="22"/>
        </w:rPr>
      </w:pPr>
      <w:r w:rsidRPr="005B0B70">
        <w:rPr>
          <w:rFonts w:ascii="Cambria" w:hAnsi="Cambria"/>
          <w:sz w:val="22"/>
          <w:szCs w:val="22"/>
        </w:rPr>
        <w:t xml:space="preserve">ekonomizer; system pozwalający na ocenę techniki jazdy kierowcy; z możliwością odczytu danych telemetrycznych istotnych do oceny ww. techniki jazdy. Rodzaj danych, sposób oraz częstotliwość ich przesyłania zostaną określone w trybie roboczym przed dostawą pierwszej partii autobusów. Wykonawca powinien zapewnić dostęp w czasie rzeczywistym do platformy z danymi telemetrycznymi. </w:t>
      </w:r>
      <w:r w:rsidRPr="005B0B70">
        <w:rPr>
          <w:rFonts w:ascii="Cambria" w:hAnsi="Cambria"/>
          <w:sz w:val="22"/>
          <w:szCs w:val="22"/>
        </w:rPr>
        <w:lastRenderedPageBreak/>
        <w:t>Platforma powinna umożliwiać tworzenie raportów okresowych według potrzeb Zamawiającego przypisanych do danego numeru kierowcy. Rodzaj generowanych raportów zostanie określony w trybie roboczym po podpisaniu Umowy. Ocena techniki jazdy kierowcy musi być sygnalizowana w czasie rzeczywistym na desce rozdzielczej lub w jej okolicy o aktualnym stylu jazdy (ekonomice), np. poprzez podświetlenie prędkościomierza w kolorze zielonym w przypadku jazdy ekonomicznej oraz czerwonym w przeciwnym przypadku.</w:t>
      </w:r>
    </w:p>
    <w:p w14:paraId="034F049E" w14:textId="77777777" w:rsidR="00D05614" w:rsidRDefault="00D05614" w:rsidP="00D05614">
      <w:pPr>
        <w:pStyle w:val="Akapitzlist"/>
        <w:numPr>
          <w:ilvl w:val="0"/>
          <w:numId w:val="37"/>
        </w:numPr>
        <w:spacing w:before="120"/>
        <w:jc w:val="both"/>
        <w:rPr>
          <w:rFonts w:ascii="Cambria" w:hAnsi="Cambria"/>
          <w:sz w:val="22"/>
          <w:szCs w:val="22"/>
        </w:rPr>
      </w:pPr>
      <w:r w:rsidRPr="005B0B70">
        <w:rPr>
          <w:rFonts w:ascii="Cambria" w:hAnsi="Cambria"/>
          <w:sz w:val="22"/>
          <w:szCs w:val="22"/>
        </w:rPr>
        <w:t>Diagnostyka całopojazdowa pozwalająca na rejestrowanie parametrów, błędów, sygnałów oraz informacji o usterkach lub zużyciu elementów, podzespołów oraz planowania obsług technicznych w trybie online w czasie rzeczywistym. Opisy usterek muszą umożliwiać dokładne rozpoznanie awarii bez konieczności ręcznego podłączania się do autobusu. Szczegółowe uzgodnienia zostaną określone w trybie roboczym po podpisaniu Umowy.</w:t>
      </w:r>
    </w:p>
    <w:p w14:paraId="63BABDCA" w14:textId="2CE9FD08" w:rsidR="00B36D51" w:rsidRPr="00B36D51" w:rsidRDefault="00B36D51" w:rsidP="00FB7127">
      <w:pPr>
        <w:pStyle w:val="Akapitzlist"/>
        <w:numPr>
          <w:ilvl w:val="0"/>
          <w:numId w:val="37"/>
        </w:numPr>
        <w:jc w:val="both"/>
        <w:rPr>
          <w:rFonts w:asciiTheme="majorHAnsi" w:hAnsiTheme="majorHAnsi"/>
          <w:sz w:val="22"/>
          <w:szCs w:val="22"/>
        </w:rPr>
      </w:pPr>
      <w:r>
        <w:rPr>
          <w:rFonts w:asciiTheme="majorHAnsi" w:hAnsiTheme="majorHAnsi"/>
          <w:sz w:val="22"/>
          <w:szCs w:val="22"/>
        </w:rPr>
        <w:t xml:space="preserve">będzie przekazana w użytkowanie w formie nieodpłatnego dostępu do platformy lub aplikacji dla minimum 20 użytkowników, od dnia przekazania pierwszej dostawy, na okres równy okresowi najdłuższej gwarancji opisanej w §2 Umowie Serwisowej. </w:t>
      </w:r>
    </w:p>
    <w:bookmarkEnd w:id="4"/>
    <w:p w14:paraId="5CC0E25E" w14:textId="79A21DFA" w:rsidR="00877A35" w:rsidRPr="005B0B70" w:rsidRDefault="00877A35"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Młotki służące do rozbicia szyb okien ewakuacyjnych umieszczone na panelach podsufitowych (nad oknami) i zabezpieczone</w:t>
      </w:r>
      <w:r w:rsidR="006F6946" w:rsidRPr="005B0B70">
        <w:rPr>
          <w:rFonts w:ascii="Cambria" w:eastAsia="Times New Roman" w:hAnsi="Cambria" w:cs="Times New Roman"/>
          <w:lang w:eastAsia="pl-PL"/>
        </w:rPr>
        <w:t xml:space="preserve"> przed kradzieżą</w:t>
      </w:r>
      <w:r w:rsidRPr="005B0B70">
        <w:rPr>
          <w:rFonts w:ascii="Cambria" w:eastAsia="Times New Roman" w:hAnsi="Cambria" w:cs="Times New Roman"/>
          <w:lang w:eastAsia="pl-PL"/>
        </w:rPr>
        <w:t xml:space="preserve"> linkami stalowymi.</w:t>
      </w:r>
    </w:p>
    <w:p w14:paraId="6EB911ED" w14:textId="77777777" w:rsidR="00877A35" w:rsidRPr="005B0B70" w:rsidRDefault="00877A35" w:rsidP="00F71F95">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 xml:space="preserve">Wyposażenie autobusu w paski do </w:t>
      </w:r>
      <w:r w:rsidRPr="005B0B70">
        <w:rPr>
          <w:rFonts w:asciiTheme="majorHAnsi" w:eastAsia="Times New Roman" w:hAnsiTheme="majorHAnsi" w:cs="Times New Roman"/>
          <w:lang w:eastAsia="pl-PL"/>
        </w:rPr>
        <w:t>mocowania rowerów, umieszczone na lewej ścianie autobusu, przy biletomacie lub na prawej ścianie autobusu obok miejsca na wózek dziecięcy. Dodatkowo wymagane zabezpieczenie ściany przed uszkodzeniem przez elementy roweru</w:t>
      </w:r>
      <w:r w:rsidRPr="005B0B70">
        <w:rPr>
          <w:rFonts w:ascii="Cambria" w:eastAsia="Times New Roman" w:hAnsi="Cambria" w:cs="Times New Roman"/>
          <w:lang w:eastAsia="pl-PL"/>
        </w:rPr>
        <w:t>.</w:t>
      </w:r>
    </w:p>
    <w:p w14:paraId="6493B8E1" w14:textId="09D30CE3" w:rsidR="00581CC0" w:rsidRPr="005B0B70" w:rsidRDefault="00581CC0" w:rsidP="00C232FB">
      <w:pPr>
        <w:numPr>
          <w:ilvl w:val="0"/>
          <w:numId w:val="25"/>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Zaleca się zastosowanie systemu automatycznego włączania, wyłączania i przełączania trybu dla oświetlenia zewnętrznego oraz oczyszczania szyby czołowej (wycieraczek) poprzez zestaw czujników zmierzchu oraz deszczu – przełącznik oświetlenia zewnętrznego i</w:t>
      </w:r>
      <w:r w:rsidR="00F71F95" w:rsidRPr="005B0B70">
        <w:rPr>
          <w:rFonts w:ascii="Cambria" w:eastAsia="Times New Roman" w:hAnsi="Cambria" w:cs="Times New Roman"/>
          <w:lang w:eastAsia="pl-PL"/>
        </w:rPr>
        <w:t> </w:t>
      </w:r>
      <w:r w:rsidRPr="005B0B70">
        <w:rPr>
          <w:rFonts w:ascii="Cambria" w:eastAsia="Times New Roman" w:hAnsi="Cambria" w:cs="Times New Roman"/>
          <w:lang w:eastAsia="pl-PL"/>
        </w:rPr>
        <w:t>wycieraczek wyposażony w specjalny tryb AUTO.</w:t>
      </w:r>
    </w:p>
    <w:p w14:paraId="4CF1B2DF" w14:textId="77777777" w:rsidR="00877A35" w:rsidRPr="005B0B70" w:rsidRDefault="00877A35" w:rsidP="00877A35">
      <w:pPr>
        <w:keepNext/>
        <w:spacing w:before="120" w:after="0" w:line="240" w:lineRule="auto"/>
        <w:jc w:val="both"/>
        <w:outlineLvl w:val="8"/>
        <w:rPr>
          <w:rFonts w:ascii="Cambria" w:eastAsia="Times New Roman" w:hAnsi="Cambria" w:cs="Times New Roman"/>
          <w:b/>
          <w:szCs w:val="20"/>
          <w:u w:val="single"/>
          <w:lang w:eastAsia="pl-PL"/>
        </w:rPr>
      </w:pPr>
      <w:r w:rsidRPr="005B0B70">
        <w:rPr>
          <w:rFonts w:ascii="Cambria" w:eastAsia="Times New Roman" w:hAnsi="Cambria" w:cs="Times New Roman"/>
          <w:b/>
          <w:szCs w:val="20"/>
          <w:u w:val="single"/>
          <w:lang w:eastAsia="pl-PL"/>
        </w:rPr>
        <w:t>VI.  Kolorystyka, powłoki lakiernicze, oznakowanie</w:t>
      </w:r>
    </w:p>
    <w:p w14:paraId="6F6805ED" w14:textId="77777777" w:rsidR="00877A35" w:rsidRPr="005B0B70" w:rsidRDefault="00877A35" w:rsidP="00C232FB">
      <w:pPr>
        <w:numPr>
          <w:ilvl w:val="0"/>
          <w:numId w:val="22"/>
        </w:numPr>
        <w:spacing w:before="120" w:after="0" w:line="240" w:lineRule="auto"/>
        <w:jc w:val="both"/>
        <w:rPr>
          <w:rFonts w:ascii="Cambria" w:eastAsia="Times New Roman" w:hAnsi="Cambria" w:cs="Times New Roman"/>
          <w:lang w:eastAsia="pl-PL"/>
        </w:rPr>
      </w:pPr>
      <w:r w:rsidRPr="005B0B70">
        <w:rPr>
          <w:rFonts w:ascii="Cambria" w:eastAsia="Times New Roman" w:hAnsi="Cambria" w:cs="Times New Roman"/>
          <w:lang w:eastAsia="pl-PL"/>
        </w:rPr>
        <w:t>Kolorystyka zewnętrzna obowiązująca u Zamawiającego: kolory podstawowe nadwozia:</w:t>
      </w:r>
    </w:p>
    <w:p w14:paraId="04B84B0A" w14:textId="77777777"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czerwony RAL 3020 występuje w postaci pojedynczego pasa w skrajnie dolnej części nadwozia (dolna część pasa podokiennego – ok. połowa wysokości, zderzak lub dolna część maski przedniej, jeżeli zderzak nie został konstrukcyjnie wyodrębniony i zderzak tylny);</w:t>
      </w:r>
    </w:p>
    <w:p w14:paraId="2D236E83" w14:textId="77777777"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żółty RAL 1003 występuje w postaci pasów w środkowej oraz górnej części nadwozia (górna część pasa podokiennego, maska przednia lub górna część maski przedniej, jeżeli zderzak nie został konstrukcyjnie wyodrębniony, klapa tylna oraz wąski pas nad oknami bocznymi i oknem tylnym lub wąski pas nad czarnym nadokiennym pasem wyrównującym, jeżeli taki występuje); w przypadku zastosowania paneli osłaniających zabudowy dachowej (ponad bryłą pojazdu), w miejsce wąskiego pasa nad oknami bocznymi lub niezależenie od jego występowania, osłony w kolorze żółtym;</w:t>
      </w:r>
    </w:p>
    <w:p w14:paraId="4353740D" w14:textId="77777777"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szary RAL 7040 może być stosowany na obudowach reflektorów i świateł tylnych, dodatkowych aplikacjach na ścianie przedniej i tylnej);</w:t>
      </w:r>
    </w:p>
    <w:p w14:paraId="7397F61B" w14:textId="6DE3C2DF" w:rsidR="00877A35" w:rsidRPr="005B0B70" w:rsidRDefault="00877A35" w:rsidP="00C232FB">
      <w:pPr>
        <w:numPr>
          <w:ilvl w:val="0"/>
          <w:numId w:val="27"/>
        </w:numPr>
        <w:spacing w:before="120" w:after="0" w:line="240" w:lineRule="auto"/>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kolor czarny RAL 9005 jest stosowany do maskowania świetlika wyświetlacza przedniego, na słupkach międzyokiennych, o ile są lakierowane, na ramach drzwi oraz w</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 xml:space="preserve">postaci pasa nad oknami bocznymi i tylnym, jeżeli konstrukcyjnie szyby nie sięgają górnej krawędzi ścian bocznych i tylnej; ponadto kolor może być stosowany na obudowach reflektorów i świateł tylnych, dodatkowych aplikacjach na ścianie przedniej i tylnej; </w:t>
      </w:r>
    </w:p>
    <w:p w14:paraId="27C94C6B" w14:textId="77777777" w:rsidR="00877A35" w:rsidRPr="005B0B70" w:rsidRDefault="00877A35" w:rsidP="00877A35">
      <w:pPr>
        <w:spacing w:before="120" w:after="0" w:line="240" w:lineRule="auto"/>
        <w:ind w:left="360"/>
        <w:jc w:val="both"/>
        <w:rPr>
          <w:rFonts w:ascii="Cambria" w:eastAsia="Times New Roman" w:hAnsi="Cambria" w:cs="Times New Roman"/>
          <w:lang w:eastAsia="pl-PL"/>
        </w:rPr>
      </w:pPr>
      <w:r w:rsidRPr="005B0B70">
        <w:rPr>
          <w:rFonts w:ascii="Cambria" w:eastAsia="Times New Roman" w:hAnsi="Cambria" w:cs="Times New Roman"/>
          <w:lang w:eastAsia="pl-PL"/>
        </w:rPr>
        <w:t>Szczegółowe wytyczne dotyczące kolorystyki, w tym symbol wg RAL oraz udział poszczególnych kolorów podstawowych (proporcje oraz układ) oraz kolorów dodatkowych, zostaną uzgodnione podczas zawierania Umowy, w ramach Protokołu uzgodnień szczegółowych, stanowiącego załącznik do Umowy.</w:t>
      </w:r>
    </w:p>
    <w:p w14:paraId="3295BEE1" w14:textId="20AD440C"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Theme="majorHAnsi" w:eastAsia="Times New Roman" w:hAnsiTheme="majorHAnsi" w:cs="Times New Roman"/>
          <w:szCs w:val="20"/>
          <w:lang w:eastAsia="pl-PL"/>
        </w:rPr>
        <w:lastRenderedPageBreak/>
        <w:t xml:space="preserve">Kolorystyka wewnętrzna. Wszystkie poręcze pionowe i poziome, dodatkowe poręcze </w:t>
      </w:r>
      <w:r w:rsidRPr="005B0B70">
        <w:rPr>
          <w:rFonts w:asciiTheme="majorHAnsi" w:hAnsiTheme="majorHAnsi"/>
        </w:rPr>
        <w:t>i</w:t>
      </w:r>
      <w:r w:rsidR="00F71F95" w:rsidRPr="005B0B70">
        <w:rPr>
          <w:rFonts w:asciiTheme="majorHAnsi" w:hAnsiTheme="majorHAnsi"/>
        </w:rPr>
        <w:t> </w:t>
      </w:r>
      <w:r w:rsidRPr="005B0B70">
        <w:rPr>
          <w:rFonts w:asciiTheme="majorHAnsi" w:hAnsiTheme="majorHAnsi"/>
        </w:rPr>
        <w:t>uchwyty</w:t>
      </w:r>
      <w:r w:rsidRPr="005B0B70">
        <w:rPr>
          <w:rFonts w:asciiTheme="majorHAnsi" w:eastAsia="Times New Roman" w:hAnsiTheme="majorHAnsi" w:cs="Times New Roman"/>
          <w:szCs w:val="20"/>
          <w:lang w:eastAsia="pl-PL"/>
        </w:rPr>
        <w:t xml:space="preserve"> dla </w:t>
      </w:r>
      <w:r w:rsidR="0032754A" w:rsidRPr="005B0B70">
        <w:rPr>
          <w:rFonts w:asciiTheme="majorHAnsi" w:eastAsia="Times New Roman" w:hAnsiTheme="majorHAnsi" w:cs="Times New Roman"/>
          <w:szCs w:val="20"/>
          <w:lang w:eastAsia="pl-PL"/>
        </w:rPr>
        <w:t>pasażerów oraz</w:t>
      </w:r>
      <w:r w:rsidRPr="005B0B70">
        <w:rPr>
          <w:rFonts w:asciiTheme="majorHAnsi" w:eastAsia="Times New Roman" w:hAnsiTheme="majorHAnsi" w:cs="Times New Roman"/>
          <w:szCs w:val="20"/>
          <w:lang w:eastAsia="pl-PL"/>
        </w:rPr>
        <w:t xml:space="preserve"> poręcze przy drzwiach, w tym na skrzydłach drzwi, w kolorze żółtym RAL 1004 (lakierowanie proszkowe o dużej odporności na zarysowanie) lub kolorze zbliżonym (elementy wykonane z tworzyw i nie lakierowane). Podłoga pokryta wykładziną antypoślizgową gładką </w:t>
      </w:r>
      <w:r w:rsidR="0032754A" w:rsidRPr="005B0B70">
        <w:rPr>
          <w:rFonts w:asciiTheme="majorHAnsi" w:eastAsia="Times New Roman" w:hAnsiTheme="majorHAnsi" w:cs="Times New Roman"/>
          <w:szCs w:val="20"/>
          <w:lang w:eastAsia="pl-PL"/>
        </w:rPr>
        <w:t>w kolorze</w:t>
      </w:r>
      <w:r w:rsidRPr="005B0B70">
        <w:rPr>
          <w:rFonts w:asciiTheme="majorHAnsi" w:eastAsia="Times New Roman" w:hAnsiTheme="majorHAnsi" w:cs="Times New Roman"/>
          <w:szCs w:val="20"/>
          <w:lang w:eastAsia="pl-PL"/>
        </w:rPr>
        <w:t xml:space="preserve"> ciemnym. Wzór wykładziny podłogowej, w oparciu o</w:t>
      </w:r>
      <w:r w:rsidR="00F71F95" w:rsidRPr="005B0B70">
        <w:rPr>
          <w:rFonts w:asciiTheme="majorHAnsi" w:eastAsia="Times New Roman" w:hAnsiTheme="majorHAnsi" w:cs="Times New Roman"/>
          <w:szCs w:val="20"/>
          <w:lang w:eastAsia="pl-PL"/>
        </w:rPr>
        <w:t> </w:t>
      </w:r>
      <w:r w:rsidRPr="005B0B70">
        <w:rPr>
          <w:rFonts w:asciiTheme="majorHAnsi" w:eastAsia="Times New Roman" w:hAnsiTheme="majorHAnsi" w:cs="Times New Roman"/>
          <w:szCs w:val="20"/>
          <w:lang w:eastAsia="pl-PL"/>
        </w:rPr>
        <w:t>propozycje wykonawcy, zostanie uzgodniony podczas zawierania umowy, w ramach Protokołu uzgodnień szczegółowych, stanowiącego załącznik do umowy. Wymienione i pozostałe elementy</w:t>
      </w:r>
      <w:r w:rsidRPr="005B0B70">
        <w:rPr>
          <w:rFonts w:ascii="Cambria" w:eastAsia="Times New Roman" w:hAnsi="Cambria" w:cs="Times New Roman"/>
          <w:szCs w:val="20"/>
          <w:lang w:eastAsia="pl-PL"/>
        </w:rPr>
        <w:t xml:space="preserve"> wewnętrzne: poszycia boczne, poszycia dachu, maskownice, kratki wentylacyjne i inne elementy wykańczające, skomponowane kolorystycznie w sposób gwarantujący wysoką estetykę oraz zapewniający wymaganą kontrastowość poręczy. W</w:t>
      </w:r>
      <w:r w:rsidR="00F71F95" w:rsidRPr="005B0B70">
        <w:rPr>
          <w:rFonts w:ascii="Cambria" w:eastAsia="Times New Roman" w:hAnsi="Cambria" w:cs="Times New Roman"/>
          <w:szCs w:val="20"/>
          <w:lang w:eastAsia="pl-PL"/>
        </w:rPr>
        <w:t> </w:t>
      </w:r>
      <w:r w:rsidRPr="005B0B70">
        <w:rPr>
          <w:rFonts w:ascii="Cambria" w:eastAsia="Times New Roman" w:hAnsi="Cambria" w:cs="Times New Roman"/>
          <w:szCs w:val="20"/>
          <w:lang w:eastAsia="pl-PL"/>
        </w:rPr>
        <w:t>osłonach nadokiennych zastosowane estetyczne elementy wykańczające lub elementy graficzne, w kolorze ciemnoczerwonym, tworzące wzdłuż autobusu pas o szerokości od 30 do 300 mm.</w:t>
      </w:r>
    </w:p>
    <w:p w14:paraId="3D34BEF5" w14:textId="77777777"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 xml:space="preserve">Powłoki zewnętrzne w wykonaniu o podwyższonej odporności na ścieranie przy myciu pojazdów na myjniach wieloszczotkowych (lakiery poliuretanowe lub akrylowe). Powłoki lakiernicze wykonane zgodnie z technologią i odpowiednimi normami, w sposób gwarantujący (przy eksploatacji pojazdu w warunkach zgodnych z przeznaczeniem) zachowanie swoich własności ochronnych i dekoracyjnych, w szczególności w zakresie 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reklam). </w:t>
      </w:r>
    </w:p>
    <w:p w14:paraId="5AC8ECBE" w14:textId="77777777"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Zamawiający dopuszcza możliwość określenia przez Wykonawcę rodzajów folii samoprzylepnych (producent - trzech różnych, oznaczenie handlowe, czas pozostawania na nadwoziu, technologia usuwania folii i kleju), które mogą być stosowane do wyklejania reklam na nadwoziu w sposób bezpieczny, bez utraty gwarancji.</w:t>
      </w:r>
    </w:p>
    <w:p w14:paraId="2D47E4C6" w14:textId="77777777"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szCs w:val="20"/>
          <w:lang w:eastAsia="pl-PL"/>
        </w:rPr>
        <w:t>Zamawiający wymaga przyciemnienia górnej części szyby przedniej (szyb przednich) oraz szyby okna kierowcy na lewej ścianie bocznej przy pomocy folii samoprzylepnej przeciwsłonecznej, przezroczystej, atestowanej do pojazdów samochodowych. Szczegółowe wytyczne dotyczące kolorystyki, stopnia przyciemnienia oraz wymiarów części przyciemnionej, zostaną ustalone na etapie uzgodnień przy produkcji pierwszej sztuki autobusu zgodnie z ustaleniami Protokołu uzgodnień szczegółowych, stanowiącego załącznik do Umowy.</w:t>
      </w:r>
    </w:p>
    <w:p w14:paraId="36728BB3" w14:textId="22911B48" w:rsidR="00EE7CFF" w:rsidRPr="005B0B70" w:rsidRDefault="00877A35" w:rsidP="00C232FB">
      <w:pPr>
        <w:numPr>
          <w:ilvl w:val="0"/>
          <w:numId w:val="22"/>
        </w:numPr>
        <w:spacing w:before="120" w:after="0" w:line="240" w:lineRule="auto"/>
        <w:ind w:left="357" w:hanging="357"/>
        <w:jc w:val="both"/>
        <w:rPr>
          <w:rFonts w:ascii="Cambria" w:eastAsia="Times New Roman" w:hAnsi="Cambria" w:cs="Times New Roman"/>
          <w:szCs w:val="20"/>
          <w:lang w:eastAsia="pl-PL"/>
        </w:rPr>
      </w:pPr>
      <w:r w:rsidRPr="005B0B70">
        <w:rPr>
          <w:rFonts w:ascii="Cambria" w:eastAsia="Times New Roman" w:hAnsi="Cambria" w:cs="Times New Roman"/>
          <w:lang w:eastAsia="pl-PL"/>
        </w:rPr>
        <w:t>Zamawiający wymaga, aby na powierzchniach szyb bocznych i tylnej oraz w pasie nadokiennym, na elementach poszycia nad przednimi drzwiami i oknem bocznym kabiny kierowcy, nie były umieszczone żadne emblematy i oznaczenia producenta autobusu. Ograniczenie nie dotyczy elementów będących częścią znaków homologacji szyb. Rozwiązanie ściany czołowej autobusu powinno umożliwiać umieszczenie po lewej stronie autobusu poniżej szyby przedniej oznaczenia „numeru taborowego” (cztery znaki o wysokości 130 mm wykonane w kolorze czarnym, umieszczane na elementach nadwozia w kolorze żółtym). Rozwiązania górnej części ściany czołowej i tylnej wewnątrz pojazdu powinny umożliwiać umieszczenie oznaczenia taborowego składającego się z czterech znaków o</w:t>
      </w:r>
      <w:r w:rsidR="00F71F95" w:rsidRPr="005B0B70">
        <w:rPr>
          <w:rFonts w:ascii="Cambria" w:eastAsia="Times New Roman" w:hAnsi="Cambria" w:cs="Times New Roman"/>
          <w:lang w:eastAsia="pl-PL"/>
        </w:rPr>
        <w:t> </w:t>
      </w:r>
      <w:r w:rsidRPr="005B0B70">
        <w:rPr>
          <w:rFonts w:ascii="Cambria" w:eastAsia="Times New Roman" w:hAnsi="Cambria" w:cs="Times New Roman"/>
          <w:lang w:eastAsia="pl-PL"/>
        </w:rPr>
        <w:t xml:space="preserve">wysokości 90 mm wykonanych w kolorze czarnym (na jasnym tle) lub żółtym (na ciemnym tle).  Zamawiający wymaga, aby autobus posiadał umieszczone w odpowiednich miejscach oznakowanie informacyjne wymagane obowiązującymi przepisami, np.: napisy „wyjście bezpieczeństwa” czy instrukcję korzystania z zaworu awaryjnego otwierania drzwi lub oznakowanie wymagane zgodnie z Załącznikiem nr 8 do Regulaminu Nr 107 EKG ONZ, w tym instrukcję korzystania z miejsca na wózek inwalidzki oraz wszelkie oznakowanie informacyjne przeznaczone dla kierowcy lub pracowników wykonujących czynności obsługowe autobusu. Oznakowanie informacyjne (instrukcje, regulaminy, piktogramy itp.) przeznaczone dla pasażerów, będzie nanoszone przez Zamawiającego, na jego terenie i na jego koszt, już po odbiorze autobusu. Szczegóły dotyczące umieszczenia emblematów producenta </w:t>
      </w:r>
      <w:r w:rsidRPr="005B0B70">
        <w:rPr>
          <w:rFonts w:ascii="Cambria" w:eastAsia="Times New Roman" w:hAnsi="Cambria" w:cs="Times New Roman"/>
          <w:lang w:eastAsia="pl-PL"/>
        </w:rPr>
        <w:lastRenderedPageBreak/>
        <w:t>autobusu oraz oznakowania informacyjnego zostaną uzgodnione podczas zawierania Umowy oraz na etapie uzgodnień przy produkcji pierwszej sztuki autobusu zgodnie z ustaleniami Protokołu uzgodnień szczegółowych, stanowiącego załącznik do Umowy.</w:t>
      </w:r>
    </w:p>
    <w:p w14:paraId="7DC18AA2" w14:textId="30019992" w:rsidR="001566FE" w:rsidRPr="005B0B70" w:rsidRDefault="00877A35" w:rsidP="00F71F95">
      <w:pPr>
        <w:numPr>
          <w:ilvl w:val="0"/>
          <w:numId w:val="22"/>
        </w:numPr>
        <w:spacing w:before="120" w:after="0" w:line="240" w:lineRule="auto"/>
        <w:ind w:left="357" w:hanging="357"/>
        <w:jc w:val="both"/>
      </w:pPr>
      <w:r w:rsidRPr="005B0B70">
        <w:rPr>
          <w:rFonts w:ascii="Cambria" w:eastAsia="Times New Roman" w:hAnsi="Cambria" w:cs="Times New Roman"/>
          <w:szCs w:val="20"/>
          <w:lang w:eastAsia="pl-PL"/>
        </w:rPr>
        <w:t>Zamawiający wymaga wyrażenia zgody przez Wykonawcę na montaż urządzeń e-Toll. Wskazanie miejsca montażu urządzenia oraz doprowadzenia zasilania nastąpi w trybie roboczym po podpisaniu umowy. Urządzenie e-Toll zamontuje Zamawiający po odbiorze autobusu.</w:t>
      </w:r>
    </w:p>
    <w:sectPr w:rsidR="001566FE" w:rsidRPr="005B0B70" w:rsidSect="009749F2">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738C7" w14:textId="77777777" w:rsidR="00484D36" w:rsidRDefault="00484D36" w:rsidP="009030D8">
      <w:pPr>
        <w:spacing w:after="0" w:line="240" w:lineRule="auto"/>
      </w:pPr>
      <w:r>
        <w:separator/>
      </w:r>
    </w:p>
  </w:endnote>
  <w:endnote w:type="continuationSeparator" w:id="0">
    <w:p w14:paraId="1B1D59C6" w14:textId="77777777" w:rsidR="00484D36" w:rsidRDefault="00484D36" w:rsidP="009030D8">
      <w:pPr>
        <w:spacing w:after="0" w:line="240" w:lineRule="auto"/>
      </w:pPr>
      <w:r>
        <w:continuationSeparator/>
      </w:r>
    </w:p>
  </w:endnote>
  <w:endnote w:type="continuationNotice" w:id="1">
    <w:p w14:paraId="22E72297" w14:textId="77777777" w:rsidR="00484D36" w:rsidRDefault="00484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340735"/>
      <w:docPartObj>
        <w:docPartGallery w:val="Page Numbers (Bottom of Page)"/>
        <w:docPartUnique/>
      </w:docPartObj>
    </w:sdtPr>
    <w:sdtEndPr/>
    <w:sdtContent>
      <w:p w14:paraId="7CC8356A" w14:textId="111DE7BE" w:rsidR="00AD6804" w:rsidRDefault="00AD6804">
        <w:pPr>
          <w:pStyle w:val="Stopka"/>
          <w:jc w:val="center"/>
        </w:pPr>
        <w:r>
          <w:fldChar w:fldCharType="begin"/>
        </w:r>
        <w:r>
          <w:instrText>PAGE   \* MERGEFORMAT</w:instrText>
        </w:r>
        <w:r>
          <w:fldChar w:fldCharType="separate"/>
        </w:r>
        <w:r>
          <w:t>2</w:t>
        </w:r>
        <w:r>
          <w:fldChar w:fldCharType="end"/>
        </w:r>
      </w:p>
    </w:sdtContent>
  </w:sdt>
  <w:p w14:paraId="01B79AF4" w14:textId="41233A1D" w:rsidR="78556AA6" w:rsidRDefault="78556AA6" w:rsidP="78556A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2FFF8" w14:textId="77777777" w:rsidR="00484D36" w:rsidRDefault="00484D36" w:rsidP="009030D8">
      <w:pPr>
        <w:spacing w:after="0" w:line="240" w:lineRule="auto"/>
      </w:pPr>
      <w:r>
        <w:separator/>
      </w:r>
    </w:p>
  </w:footnote>
  <w:footnote w:type="continuationSeparator" w:id="0">
    <w:p w14:paraId="3CC033DC" w14:textId="77777777" w:rsidR="00484D36" w:rsidRDefault="00484D36" w:rsidP="009030D8">
      <w:pPr>
        <w:spacing w:after="0" w:line="240" w:lineRule="auto"/>
      </w:pPr>
      <w:r>
        <w:continuationSeparator/>
      </w:r>
    </w:p>
  </w:footnote>
  <w:footnote w:type="continuationNotice" w:id="1">
    <w:p w14:paraId="6C2210FE" w14:textId="77777777" w:rsidR="00484D36" w:rsidRDefault="00484D36">
      <w:pPr>
        <w:spacing w:after="0" w:line="240" w:lineRule="auto"/>
      </w:pPr>
    </w:p>
  </w:footnote>
  <w:footnote w:id="2">
    <w:p w14:paraId="741F846F" w14:textId="77777777" w:rsidR="00A74EF0" w:rsidRPr="006A7BFE" w:rsidRDefault="00A74EF0" w:rsidP="00877A35">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w wymaganiach określonych jako „zalecane” Zamawiający dopuszcza zastosowanie rozwiązania, zespołu lub podzespołu równorzędnego, spełniającego opisane wymagania, w tym wymagania określone jako minimalne</w:t>
      </w:r>
    </w:p>
  </w:footnote>
  <w:footnote w:id="3">
    <w:p w14:paraId="7828940D" w14:textId="77777777" w:rsidR="00A74EF0" w:rsidRPr="006A7BFE" w:rsidRDefault="00A74EF0" w:rsidP="00877A35">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liczba miejsc pasażerskich</w:t>
      </w:r>
      <w:r w:rsidRPr="006A7BFE">
        <w:rPr>
          <w:rFonts w:asciiTheme="majorHAnsi" w:hAnsiTheme="majorHAnsi" w:cstheme="minorHAnsi"/>
          <w:sz w:val="22"/>
        </w:rPr>
        <w:t xml:space="preserve"> </w:t>
      </w:r>
      <w:r w:rsidRPr="006A7BFE">
        <w:rPr>
          <w:rFonts w:asciiTheme="majorHAnsi" w:hAnsiTheme="majorHAnsi" w:cstheme="minorHAnsi"/>
        </w:rPr>
        <w:t>zgodnie z zasadami określonymi w Załączniku nr 11 do Regulaminu nr 107 EKG ONZ będzie uwzględniona przy ocenie oferty zgodnie z Rozdziałem 18 SWZ, jako osobne kryterium oceny „liczba miejsc pasażerskich”</w:t>
      </w:r>
    </w:p>
  </w:footnote>
  <w:footnote w:id="4">
    <w:p w14:paraId="6912E696" w14:textId="77777777" w:rsidR="002E4148" w:rsidRPr="006A7BFE" w:rsidRDefault="002E4148" w:rsidP="002E4148">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Rozwiązanie zalecane, uwzględniające oczekiwania pasażerów niepełnosprawnych oraz z trudnościami w poruszaniu się.</w:t>
      </w:r>
    </w:p>
  </w:footnote>
  <w:footnote w:id="5">
    <w:p w14:paraId="787C9678" w14:textId="7F678506" w:rsidR="00C3707F" w:rsidRPr="006A7BFE" w:rsidRDefault="00C3707F">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Ilość osi napędzanych będzie uwzględniona przy ocenia oferty zgodnie z Rozdziałem 18 SWZ, jako osobne kryterium oceny „Zastosowanie napędu na dwie osie pojazdu” </w:t>
      </w:r>
    </w:p>
  </w:footnote>
  <w:footnote w:id="6">
    <w:p w14:paraId="6F8D0EEB" w14:textId="195C8B89" w:rsidR="00A55C61" w:rsidRPr="006A7BFE" w:rsidRDefault="00A55C61">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w:t>
      </w:r>
      <w:r w:rsidRPr="006A7BFE">
        <w:rPr>
          <w:rFonts w:asciiTheme="majorHAnsi" w:hAnsiTheme="majorHAnsi" w:cstheme="minorHAnsi"/>
          <w:sz w:val="18"/>
          <w:szCs w:val="18"/>
        </w:rPr>
        <w:t>Deklarowany zasięg pojazdu będzie uwzględniony przy ocenie oferty zgodnie z Rozdziałem 18 SWZ, jako osobne kryterium oceny „</w:t>
      </w:r>
      <w:r w:rsidR="00F60017" w:rsidRPr="006A7BFE">
        <w:rPr>
          <w:rFonts w:asciiTheme="majorHAnsi" w:hAnsiTheme="majorHAnsi" w:cstheme="minorHAnsi"/>
          <w:sz w:val="18"/>
          <w:szCs w:val="18"/>
        </w:rPr>
        <w:t xml:space="preserve">deklarowany najwyższy </w:t>
      </w:r>
      <w:r w:rsidRPr="006A7BFE">
        <w:rPr>
          <w:rFonts w:asciiTheme="majorHAnsi" w:hAnsiTheme="majorHAnsi" w:cstheme="minorHAnsi"/>
          <w:sz w:val="18"/>
          <w:szCs w:val="18"/>
        </w:rPr>
        <w:t xml:space="preserve">zasięg </w:t>
      </w:r>
      <w:r w:rsidR="00F60017" w:rsidRPr="006A7BFE">
        <w:rPr>
          <w:rFonts w:asciiTheme="majorHAnsi" w:hAnsiTheme="majorHAnsi" w:cstheme="minorHAnsi"/>
          <w:sz w:val="18"/>
          <w:szCs w:val="18"/>
        </w:rPr>
        <w:t>obliczeniowy</w:t>
      </w:r>
      <w:r w:rsidRPr="006A7BFE">
        <w:rPr>
          <w:rFonts w:asciiTheme="majorHAnsi" w:hAnsiTheme="majorHAnsi" w:cstheme="minorHAnsi"/>
          <w:sz w:val="18"/>
          <w:szCs w:val="18"/>
        </w:rPr>
        <w:t>”</w:t>
      </w:r>
    </w:p>
  </w:footnote>
  <w:footnote w:id="7">
    <w:p w14:paraId="3195FE3A" w14:textId="02ECAA99" w:rsidR="00CA4BF3" w:rsidRPr="006A7BFE" w:rsidRDefault="00CA4BF3" w:rsidP="00CA4BF3">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w:t>
      </w:r>
      <w:r w:rsidRPr="006A7BFE">
        <w:rPr>
          <w:rFonts w:asciiTheme="majorHAnsi" w:hAnsiTheme="majorHAnsi" w:cstheme="minorHAnsi"/>
          <w:sz w:val="18"/>
          <w:szCs w:val="18"/>
        </w:rPr>
        <w:t>Trwałość baterii trakcyjnej w okresie od 11 roku do 15 roku eksploatacji</w:t>
      </w:r>
      <w:r w:rsidRPr="006A7BFE">
        <w:rPr>
          <w:rFonts w:asciiTheme="majorHAnsi" w:hAnsiTheme="majorHAnsi" w:cstheme="minorHAnsi"/>
          <w:sz w:val="18"/>
          <w:szCs w:val="18"/>
          <w:vertAlign w:val="superscript"/>
        </w:rPr>
        <w:t xml:space="preserve"> </w:t>
      </w:r>
      <w:r w:rsidRPr="006A7BFE">
        <w:rPr>
          <w:rFonts w:asciiTheme="majorHAnsi" w:hAnsiTheme="majorHAnsi" w:cstheme="minorHAnsi"/>
          <w:sz w:val="18"/>
          <w:szCs w:val="18"/>
        </w:rPr>
        <w:t>będzie uwzględniona przy ocenie oferty zgodnie z Rozdziałem 18 SWZ, jako osobne kryterium oceny „trwałość baterii trakcyjnej”</w:t>
      </w:r>
    </w:p>
    <w:p w14:paraId="6246C96A" w14:textId="77777777" w:rsidR="00CA4BF3" w:rsidRPr="006A7BFE" w:rsidRDefault="00CA4BF3" w:rsidP="00CA4BF3">
      <w:pPr>
        <w:pStyle w:val="Tekstprzypisudolnego"/>
        <w:rPr>
          <w:rFonts w:asciiTheme="majorHAnsi" w:hAnsiTheme="majorHAnsi" w:cstheme="minorHAnsi"/>
        </w:rPr>
      </w:pPr>
    </w:p>
  </w:footnote>
  <w:footnote w:id="8">
    <w:p w14:paraId="48463CB6" w14:textId="35E51E61" w:rsidR="00473D38" w:rsidRPr="006A7BFE" w:rsidRDefault="00473D38">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Zastosowanie rozwiązania technicznego w postaci inteligentnego wspomagania hamowania będzie uwzględnione przy ocenie ofert zgodnie z Rozdziałem 18 SWZ, kryterium oceny ofert </w:t>
      </w:r>
      <w:r w:rsidR="00A45EB8" w:rsidRPr="006A7BFE">
        <w:rPr>
          <w:rFonts w:asciiTheme="majorHAnsi" w:hAnsiTheme="majorHAnsi" w:cstheme="minorHAnsi"/>
        </w:rPr>
        <w:t>„system</w:t>
      </w:r>
      <w:r w:rsidRPr="006A7BFE">
        <w:rPr>
          <w:rFonts w:asciiTheme="majorHAnsi" w:hAnsiTheme="majorHAnsi" w:cstheme="minorHAnsi"/>
        </w:rPr>
        <w:t xml:space="preserve"> inteligentnego wspomagania hamowania”</w:t>
      </w:r>
    </w:p>
  </w:footnote>
  <w:footnote w:id="9">
    <w:p w14:paraId="3EF47745" w14:textId="5BEAF687" w:rsidR="00473D38" w:rsidRPr="006A7BFE" w:rsidRDefault="00473D38">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Zastosowanie rozwiązania technicznego w postaci aktywnego zawieszenia będzie uwzględnione przy ocenie ofert zgodnie z Rozdziałem 18 SWZ, kryterium oceny ofert </w:t>
      </w:r>
      <w:r w:rsidR="00A45EB8" w:rsidRPr="006A7BFE">
        <w:rPr>
          <w:rFonts w:asciiTheme="majorHAnsi" w:hAnsiTheme="majorHAnsi" w:cstheme="minorHAnsi"/>
        </w:rPr>
        <w:t>„aktywne</w:t>
      </w:r>
      <w:r w:rsidRPr="006A7BFE">
        <w:rPr>
          <w:rFonts w:asciiTheme="majorHAnsi" w:hAnsiTheme="majorHAnsi" w:cstheme="minorHAnsi"/>
        </w:rPr>
        <w:t xml:space="preserve"> zawieszenie kompensujące pracę nadwozia podczas jazdy”</w:t>
      </w:r>
    </w:p>
  </w:footnote>
  <w:footnote w:id="10">
    <w:p w14:paraId="47C4AF22" w14:textId="77777777" w:rsidR="00A74EF0" w:rsidRPr="006A7BFE" w:rsidRDefault="00A74EF0" w:rsidP="00877A35">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p>
  </w:footnote>
  <w:footnote w:id="11">
    <w:p w14:paraId="7FAD19A8" w14:textId="77777777" w:rsidR="00473D38" w:rsidRPr="00A342B4" w:rsidRDefault="00473D38" w:rsidP="00473D38">
      <w:pPr>
        <w:pStyle w:val="Tekstprzypisudolnego"/>
        <w:rPr>
          <w:rFonts w:asciiTheme="majorHAnsi" w:hAnsiTheme="majorHAnsi"/>
        </w:rPr>
      </w:pPr>
      <w:r w:rsidRPr="00A342B4">
        <w:rPr>
          <w:rStyle w:val="Odwoanieprzypisudolnego"/>
          <w:rFonts w:asciiTheme="majorHAnsi" w:hAnsiTheme="majorHAnsi"/>
        </w:rPr>
        <w:footnoteRef/>
      </w:r>
      <w:r w:rsidRPr="00A342B4">
        <w:rPr>
          <w:rFonts w:asciiTheme="majorHAnsi" w:hAnsiTheme="majorHAnsi"/>
        </w:rPr>
        <w:t xml:space="preserve"> </w:t>
      </w:r>
      <w:bookmarkStart w:id="1" w:name="_Hlk175732864"/>
      <w:r w:rsidRPr="00A342B4">
        <w:rPr>
          <w:rFonts w:asciiTheme="majorHAnsi" w:hAnsiTheme="majorHAnsi"/>
        </w:rPr>
        <w:t>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bookmarkEnd w:id="1"/>
    </w:p>
  </w:footnote>
  <w:footnote w:id="12">
    <w:p w14:paraId="76F9A53E" w14:textId="34EA7FA5" w:rsidR="001D04C2" w:rsidRPr="006A7BFE" w:rsidRDefault="001D04C2">
      <w:pPr>
        <w:pStyle w:val="Tekstprzypisudolnego"/>
        <w:rPr>
          <w:rFonts w:asciiTheme="majorHAnsi" w:hAnsiTheme="majorHAnsi" w:cstheme="minorHAnsi"/>
        </w:rPr>
      </w:pPr>
      <w:r w:rsidRPr="006A7BFE">
        <w:rPr>
          <w:rStyle w:val="Odwoanieprzypisudolnego"/>
          <w:rFonts w:asciiTheme="majorHAnsi" w:hAnsiTheme="majorHAnsi" w:cstheme="minorHAnsi"/>
        </w:rPr>
        <w:footnoteRef/>
      </w:r>
      <w:r w:rsidRPr="006A7BFE">
        <w:rPr>
          <w:rFonts w:asciiTheme="majorHAnsi" w:hAnsiTheme="majorHAnsi" w:cstheme="minorHAnsi"/>
        </w:rPr>
        <w:t xml:space="preserve"> </w:t>
      </w:r>
      <w:bookmarkStart w:id="2" w:name="_Hlk175733116"/>
      <w:r w:rsidRPr="006A7BFE">
        <w:rPr>
          <w:rFonts w:asciiTheme="majorHAnsi" w:hAnsiTheme="majorHAnsi" w:cstheme="minorHAnsi"/>
        </w:rPr>
        <w:t>Zwrócić uwagę na wysokość umiejscowienia przycisków</w:t>
      </w:r>
      <w:bookmarkEnd w:id="2"/>
    </w:p>
  </w:footnote>
  <w:footnote w:id="13">
    <w:p w14:paraId="00C42BCC" w14:textId="0D7AFD98" w:rsidR="007962C9" w:rsidRPr="007962C9" w:rsidRDefault="007962C9">
      <w:pPr>
        <w:pStyle w:val="Tekstprzypisudolnego"/>
        <w:rPr>
          <w:rFonts w:asciiTheme="majorHAnsi" w:hAnsiTheme="majorHAnsi"/>
        </w:rPr>
      </w:pPr>
      <w:r>
        <w:rPr>
          <w:rStyle w:val="Odwoanieprzypisudolnego"/>
        </w:rPr>
        <w:footnoteRef/>
      </w:r>
      <w:r>
        <w:t xml:space="preserve"> </w:t>
      </w:r>
      <w:r w:rsidRPr="00A342B4">
        <w:rPr>
          <w:rFonts w:asciiTheme="majorHAnsi" w:hAnsiTheme="majorHAnsi"/>
        </w:rPr>
        <w:t>W związku z planowanym zmianą systemu biletowego przez Organizatora, ostateczne ustalenia co do szczegółów technicznych zostaną ustalone w trybie roboczym po podpisaniu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FCD6" w14:textId="10E074CF" w:rsidR="00AA01B5" w:rsidRDefault="00AA01B5" w:rsidP="00AA01B5">
    <w:pPr>
      <w:pStyle w:val="Nagwek"/>
    </w:pPr>
    <w:r>
      <w:t xml:space="preserve">postępowanie numer: 143/RPP/AB/24 </w:t>
    </w:r>
    <w:r>
      <w:tab/>
    </w:r>
    <w:r>
      <w:tab/>
      <w:t>Załącznik nr 1.2 do SWZ</w:t>
    </w:r>
  </w:p>
  <w:p w14:paraId="40DEE3E3" w14:textId="26F6834A" w:rsidR="00AA01B5" w:rsidRDefault="00AA01B5" w:rsidP="00AA01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F81C1B"/>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3" w15:restartNumberingAfterBreak="0">
    <w:nsid w:val="044869BC"/>
    <w:multiLevelType w:val="hybridMultilevel"/>
    <w:tmpl w:val="1AA8270C"/>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72859"/>
    <w:multiLevelType w:val="hybridMultilevel"/>
    <w:tmpl w:val="3D7C3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242C2E"/>
    <w:multiLevelType w:val="hybridMultilevel"/>
    <w:tmpl w:val="959CF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552EA"/>
    <w:multiLevelType w:val="hybridMultilevel"/>
    <w:tmpl w:val="A5F05FB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B102A8"/>
    <w:multiLevelType w:val="hybridMultilevel"/>
    <w:tmpl w:val="36E43D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54D53E8"/>
    <w:multiLevelType w:val="hybridMultilevel"/>
    <w:tmpl w:val="7A164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5FC0CCC"/>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170D7466"/>
    <w:multiLevelType w:val="hybridMultilevel"/>
    <w:tmpl w:val="61A8E0D8"/>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8C2D61"/>
    <w:multiLevelType w:val="hybridMultilevel"/>
    <w:tmpl w:val="2BF6C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E1156"/>
    <w:multiLevelType w:val="hybridMultilevel"/>
    <w:tmpl w:val="80F4B4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E53555"/>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B2B26"/>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9944E7"/>
    <w:multiLevelType w:val="hybridMultilevel"/>
    <w:tmpl w:val="36966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50315C9"/>
    <w:multiLevelType w:val="hybridMultilevel"/>
    <w:tmpl w:val="F0F46F2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9431F"/>
    <w:multiLevelType w:val="hybridMultilevel"/>
    <w:tmpl w:val="6D060D24"/>
    <w:lvl w:ilvl="0" w:tplc="D70A5846">
      <w:start w:val="4"/>
      <w:numFmt w:val="bullet"/>
      <w:lvlText w:val="-"/>
      <w:lvlJc w:val="left"/>
      <w:pPr>
        <w:ind w:left="1018" w:hanging="360"/>
      </w:pPr>
      <w:rPr>
        <w:rFonts w:ascii="Times New Roman" w:eastAsia="Times New Roman" w:hAnsi="Times New Roman" w:cs="Times New Roman" w:hint="default"/>
      </w:rPr>
    </w:lvl>
    <w:lvl w:ilvl="1" w:tplc="04150003" w:tentative="1">
      <w:start w:val="1"/>
      <w:numFmt w:val="bullet"/>
      <w:lvlText w:val="o"/>
      <w:lvlJc w:val="left"/>
      <w:pPr>
        <w:ind w:left="1738" w:hanging="360"/>
      </w:pPr>
      <w:rPr>
        <w:rFonts w:ascii="Courier New" w:hAnsi="Courier New" w:cs="Courier New" w:hint="default"/>
      </w:rPr>
    </w:lvl>
    <w:lvl w:ilvl="2" w:tplc="04150005" w:tentative="1">
      <w:start w:val="1"/>
      <w:numFmt w:val="bullet"/>
      <w:lvlText w:val=""/>
      <w:lvlJc w:val="left"/>
      <w:pPr>
        <w:ind w:left="2458" w:hanging="360"/>
      </w:pPr>
      <w:rPr>
        <w:rFonts w:ascii="Wingdings" w:hAnsi="Wingdings" w:hint="default"/>
      </w:rPr>
    </w:lvl>
    <w:lvl w:ilvl="3" w:tplc="04150001" w:tentative="1">
      <w:start w:val="1"/>
      <w:numFmt w:val="bullet"/>
      <w:lvlText w:val=""/>
      <w:lvlJc w:val="left"/>
      <w:pPr>
        <w:ind w:left="3178" w:hanging="360"/>
      </w:pPr>
      <w:rPr>
        <w:rFonts w:ascii="Symbol" w:hAnsi="Symbol" w:hint="default"/>
      </w:rPr>
    </w:lvl>
    <w:lvl w:ilvl="4" w:tplc="04150003" w:tentative="1">
      <w:start w:val="1"/>
      <w:numFmt w:val="bullet"/>
      <w:lvlText w:val="o"/>
      <w:lvlJc w:val="left"/>
      <w:pPr>
        <w:ind w:left="3898" w:hanging="360"/>
      </w:pPr>
      <w:rPr>
        <w:rFonts w:ascii="Courier New" w:hAnsi="Courier New" w:cs="Courier New" w:hint="default"/>
      </w:rPr>
    </w:lvl>
    <w:lvl w:ilvl="5" w:tplc="04150005" w:tentative="1">
      <w:start w:val="1"/>
      <w:numFmt w:val="bullet"/>
      <w:lvlText w:val=""/>
      <w:lvlJc w:val="left"/>
      <w:pPr>
        <w:ind w:left="4618" w:hanging="360"/>
      </w:pPr>
      <w:rPr>
        <w:rFonts w:ascii="Wingdings" w:hAnsi="Wingdings" w:hint="default"/>
      </w:rPr>
    </w:lvl>
    <w:lvl w:ilvl="6" w:tplc="04150001" w:tentative="1">
      <w:start w:val="1"/>
      <w:numFmt w:val="bullet"/>
      <w:lvlText w:val=""/>
      <w:lvlJc w:val="left"/>
      <w:pPr>
        <w:ind w:left="5338" w:hanging="360"/>
      </w:pPr>
      <w:rPr>
        <w:rFonts w:ascii="Symbol" w:hAnsi="Symbol" w:hint="default"/>
      </w:rPr>
    </w:lvl>
    <w:lvl w:ilvl="7" w:tplc="04150003" w:tentative="1">
      <w:start w:val="1"/>
      <w:numFmt w:val="bullet"/>
      <w:lvlText w:val="o"/>
      <w:lvlJc w:val="left"/>
      <w:pPr>
        <w:ind w:left="6058" w:hanging="360"/>
      </w:pPr>
      <w:rPr>
        <w:rFonts w:ascii="Courier New" w:hAnsi="Courier New" w:cs="Courier New" w:hint="default"/>
      </w:rPr>
    </w:lvl>
    <w:lvl w:ilvl="8" w:tplc="04150005" w:tentative="1">
      <w:start w:val="1"/>
      <w:numFmt w:val="bullet"/>
      <w:lvlText w:val=""/>
      <w:lvlJc w:val="left"/>
      <w:pPr>
        <w:ind w:left="6778" w:hanging="360"/>
      </w:pPr>
      <w:rPr>
        <w:rFonts w:ascii="Wingdings" w:hAnsi="Wingdings" w:hint="default"/>
      </w:rPr>
    </w:lvl>
  </w:abstractNum>
  <w:abstractNum w:abstractNumId="19" w15:restartNumberingAfterBreak="0">
    <w:nsid w:val="2CFD228E"/>
    <w:multiLevelType w:val="hybridMultilevel"/>
    <w:tmpl w:val="E976E8BE"/>
    <w:lvl w:ilvl="0" w:tplc="0415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0" w15:restartNumberingAfterBreak="0">
    <w:nsid w:val="2DFD046F"/>
    <w:multiLevelType w:val="hybridMultilevel"/>
    <w:tmpl w:val="7CD68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1F24F24"/>
    <w:multiLevelType w:val="hybridMultilevel"/>
    <w:tmpl w:val="A72E1024"/>
    <w:lvl w:ilvl="0" w:tplc="407AD756">
      <w:start w:val="1"/>
      <w:numFmt w:val="decimal"/>
      <w:lvlText w:val="%1."/>
      <w:lvlJc w:val="left"/>
      <w:pPr>
        <w:tabs>
          <w:tab w:val="num" w:pos="473"/>
        </w:tabs>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127EFF"/>
    <w:multiLevelType w:val="hybridMultilevel"/>
    <w:tmpl w:val="8CD8B6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53378C5"/>
    <w:multiLevelType w:val="hybridMultilevel"/>
    <w:tmpl w:val="D2D849CA"/>
    <w:lvl w:ilvl="0" w:tplc="04150001">
      <w:start w:val="1"/>
      <w:numFmt w:val="bullet"/>
      <w:lvlText w:val=""/>
      <w:lvlJc w:val="left"/>
      <w:pPr>
        <w:ind w:left="283" w:hanging="283"/>
      </w:pPr>
      <w:rPr>
        <w:rFonts w:ascii="Symbol" w:hAnsi="Symbol" w:hint="default"/>
      </w:rPr>
    </w:lvl>
    <w:lvl w:ilvl="1" w:tplc="6A769D30">
      <w:start w:val="1"/>
      <w:numFmt w:val="decimal"/>
      <w:lvlText w:val="%2."/>
      <w:legacy w:legacy="1" w:legacySpace="0" w:legacyIndent="283"/>
      <w:lvlJc w:val="left"/>
      <w:pPr>
        <w:ind w:left="1363" w:hanging="283"/>
      </w:pPr>
    </w:lvl>
    <w:lvl w:ilvl="2" w:tplc="2AF8D136">
      <w:numFmt w:val="bullet"/>
      <w:lvlText w:val="•"/>
      <w:lvlJc w:val="left"/>
      <w:pPr>
        <w:ind w:left="2505" w:hanging="705"/>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A63F7"/>
    <w:multiLevelType w:val="singleLevel"/>
    <w:tmpl w:val="6A769D30"/>
    <w:lvl w:ilvl="0">
      <w:start w:val="1"/>
      <w:numFmt w:val="decimal"/>
      <w:lvlText w:val="%1."/>
      <w:legacy w:legacy="1" w:legacySpace="0" w:legacyIndent="283"/>
      <w:lvlJc w:val="left"/>
      <w:pPr>
        <w:ind w:left="283" w:hanging="283"/>
      </w:pPr>
    </w:lvl>
  </w:abstractNum>
  <w:abstractNum w:abstractNumId="26" w15:restartNumberingAfterBreak="0">
    <w:nsid w:val="4C9A7094"/>
    <w:multiLevelType w:val="hybridMultilevel"/>
    <w:tmpl w:val="3C90B348"/>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54F7A"/>
    <w:multiLevelType w:val="multilevel"/>
    <w:tmpl w:val="C69CE65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080" w:hanging="360"/>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555D84"/>
    <w:multiLevelType w:val="hybridMultilevel"/>
    <w:tmpl w:val="B25E734E"/>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A3853"/>
    <w:multiLevelType w:val="hybridMultilevel"/>
    <w:tmpl w:val="09FED3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F460802"/>
    <w:multiLevelType w:val="hybridMultilevel"/>
    <w:tmpl w:val="BD9461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F8A7D02"/>
    <w:multiLevelType w:val="hybridMultilevel"/>
    <w:tmpl w:val="D11843A4"/>
    <w:lvl w:ilvl="0" w:tplc="D70A5846">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041CEB"/>
    <w:multiLevelType w:val="hybridMultilevel"/>
    <w:tmpl w:val="440E5D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7C35F4F"/>
    <w:multiLevelType w:val="hybridMultilevel"/>
    <w:tmpl w:val="538C79E0"/>
    <w:lvl w:ilvl="0" w:tplc="D70A5846">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953E22"/>
    <w:multiLevelType w:val="hybridMultilevel"/>
    <w:tmpl w:val="1C30DB1E"/>
    <w:lvl w:ilvl="0" w:tplc="04150001">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36" w15:restartNumberingAfterBreak="0">
    <w:nsid w:val="6DBE5808"/>
    <w:multiLevelType w:val="hybridMultilevel"/>
    <w:tmpl w:val="75B8992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063C1C"/>
    <w:multiLevelType w:val="hybridMultilevel"/>
    <w:tmpl w:val="C1E4E6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2A616A7"/>
    <w:multiLevelType w:val="hybridMultilevel"/>
    <w:tmpl w:val="83FA7E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82048AB"/>
    <w:multiLevelType w:val="hybridMultilevel"/>
    <w:tmpl w:val="FA2E7E16"/>
    <w:lvl w:ilvl="0" w:tplc="B0EA95AC">
      <w:start w:val="1"/>
      <w:numFmt w:val="bullet"/>
      <w:lvlText w:val="-"/>
      <w:lvlJc w:val="left"/>
      <w:pPr>
        <w:ind w:left="1018" w:hanging="360"/>
      </w:pPr>
      <w:rPr>
        <w:rFonts w:ascii="Times New Roman" w:hAnsi="Times New Roman" w:hint="default"/>
        <w:b w:val="0"/>
        <w:i w:val="0"/>
        <w:sz w:val="22"/>
      </w:rPr>
    </w:lvl>
    <w:lvl w:ilvl="1" w:tplc="04150003" w:tentative="1">
      <w:start w:val="1"/>
      <w:numFmt w:val="bullet"/>
      <w:lvlText w:val="o"/>
      <w:lvlJc w:val="left"/>
      <w:pPr>
        <w:ind w:left="1738" w:hanging="360"/>
      </w:pPr>
      <w:rPr>
        <w:rFonts w:ascii="Courier New" w:hAnsi="Courier New" w:cs="Courier New" w:hint="default"/>
      </w:rPr>
    </w:lvl>
    <w:lvl w:ilvl="2" w:tplc="04150005" w:tentative="1">
      <w:start w:val="1"/>
      <w:numFmt w:val="bullet"/>
      <w:lvlText w:val=""/>
      <w:lvlJc w:val="left"/>
      <w:pPr>
        <w:ind w:left="2458" w:hanging="360"/>
      </w:pPr>
      <w:rPr>
        <w:rFonts w:ascii="Wingdings" w:hAnsi="Wingdings" w:hint="default"/>
      </w:rPr>
    </w:lvl>
    <w:lvl w:ilvl="3" w:tplc="04150001" w:tentative="1">
      <w:start w:val="1"/>
      <w:numFmt w:val="bullet"/>
      <w:lvlText w:val=""/>
      <w:lvlJc w:val="left"/>
      <w:pPr>
        <w:ind w:left="3178" w:hanging="360"/>
      </w:pPr>
      <w:rPr>
        <w:rFonts w:ascii="Symbol" w:hAnsi="Symbol" w:hint="default"/>
      </w:rPr>
    </w:lvl>
    <w:lvl w:ilvl="4" w:tplc="04150003" w:tentative="1">
      <w:start w:val="1"/>
      <w:numFmt w:val="bullet"/>
      <w:lvlText w:val="o"/>
      <w:lvlJc w:val="left"/>
      <w:pPr>
        <w:ind w:left="3898" w:hanging="360"/>
      </w:pPr>
      <w:rPr>
        <w:rFonts w:ascii="Courier New" w:hAnsi="Courier New" w:cs="Courier New" w:hint="default"/>
      </w:rPr>
    </w:lvl>
    <w:lvl w:ilvl="5" w:tplc="04150005" w:tentative="1">
      <w:start w:val="1"/>
      <w:numFmt w:val="bullet"/>
      <w:lvlText w:val=""/>
      <w:lvlJc w:val="left"/>
      <w:pPr>
        <w:ind w:left="4618" w:hanging="360"/>
      </w:pPr>
      <w:rPr>
        <w:rFonts w:ascii="Wingdings" w:hAnsi="Wingdings" w:hint="default"/>
      </w:rPr>
    </w:lvl>
    <w:lvl w:ilvl="6" w:tplc="04150001" w:tentative="1">
      <w:start w:val="1"/>
      <w:numFmt w:val="bullet"/>
      <w:lvlText w:val=""/>
      <w:lvlJc w:val="left"/>
      <w:pPr>
        <w:ind w:left="5338" w:hanging="360"/>
      </w:pPr>
      <w:rPr>
        <w:rFonts w:ascii="Symbol" w:hAnsi="Symbol" w:hint="default"/>
      </w:rPr>
    </w:lvl>
    <w:lvl w:ilvl="7" w:tplc="04150003" w:tentative="1">
      <w:start w:val="1"/>
      <w:numFmt w:val="bullet"/>
      <w:lvlText w:val="o"/>
      <w:lvlJc w:val="left"/>
      <w:pPr>
        <w:ind w:left="6058" w:hanging="360"/>
      </w:pPr>
      <w:rPr>
        <w:rFonts w:ascii="Courier New" w:hAnsi="Courier New" w:cs="Courier New" w:hint="default"/>
      </w:rPr>
    </w:lvl>
    <w:lvl w:ilvl="8" w:tplc="04150005" w:tentative="1">
      <w:start w:val="1"/>
      <w:numFmt w:val="bullet"/>
      <w:lvlText w:val=""/>
      <w:lvlJc w:val="left"/>
      <w:pPr>
        <w:ind w:left="6778" w:hanging="360"/>
      </w:pPr>
      <w:rPr>
        <w:rFonts w:ascii="Wingdings" w:hAnsi="Wingdings" w:hint="default"/>
      </w:rPr>
    </w:lvl>
  </w:abstractNum>
  <w:abstractNum w:abstractNumId="40" w15:restartNumberingAfterBreak="0">
    <w:nsid w:val="7A3B75C0"/>
    <w:multiLevelType w:val="hybridMultilevel"/>
    <w:tmpl w:val="3DE03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EAC5401"/>
    <w:multiLevelType w:val="multilevel"/>
    <w:tmpl w:val="16EA8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94991028">
    <w:abstractNumId w:val="31"/>
    <w:lvlOverride w:ilvl="0">
      <w:startOverride w:val="1"/>
    </w:lvlOverride>
  </w:num>
  <w:num w:numId="2" w16cid:durableId="495000433">
    <w:abstractNumId w:val="23"/>
    <w:lvlOverride w:ilvl="0">
      <w:startOverride w:val="1"/>
    </w:lvlOverride>
  </w:num>
  <w:num w:numId="3" w16cid:durableId="553540443">
    <w:abstractNumId w:val="14"/>
  </w:num>
  <w:num w:numId="4" w16cid:durableId="17209359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83253287">
    <w:abstractNumId w:val="2"/>
  </w:num>
  <w:num w:numId="6" w16cid:durableId="1661809225">
    <w:abstractNumId w:val="24"/>
  </w:num>
  <w:num w:numId="7" w16cid:durableId="837233339">
    <w:abstractNumId w:val="17"/>
  </w:num>
  <w:num w:numId="8" w16cid:durableId="919829087">
    <w:abstractNumId w:val="28"/>
  </w:num>
  <w:num w:numId="9" w16cid:durableId="359939718">
    <w:abstractNumId w:val="3"/>
  </w:num>
  <w:num w:numId="10" w16cid:durableId="1167984083">
    <w:abstractNumId w:val="26"/>
  </w:num>
  <w:num w:numId="11" w16cid:durableId="51582263">
    <w:abstractNumId w:val="15"/>
  </w:num>
  <w:num w:numId="12" w16cid:durableId="1235628710">
    <w:abstractNumId w:val="13"/>
  </w:num>
  <w:num w:numId="13" w16cid:durableId="784736436">
    <w:abstractNumId w:val="32"/>
  </w:num>
  <w:num w:numId="14" w16cid:durableId="211885619">
    <w:abstractNumId w:val="6"/>
  </w:num>
  <w:num w:numId="15" w16cid:durableId="126357896">
    <w:abstractNumId w:val="30"/>
  </w:num>
  <w:num w:numId="16" w16cid:durableId="420033654">
    <w:abstractNumId w:val="22"/>
  </w:num>
  <w:num w:numId="17" w16cid:durableId="1265265356">
    <w:abstractNumId w:val="11"/>
  </w:num>
  <w:num w:numId="18" w16cid:durableId="1909025743">
    <w:abstractNumId w:val="5"/>
  </w:num>
  <w:num w:numId="19" w16cid:durableId="788940366">
    <w:abstractNumId w:val="37"/>
  </w:num>
  <w:num w:numId="20" w16cid:durableId="859397960">
    <w:abstractNumId w:val="40"/>
  </w:num>
  <w:num w:numId="21" w16cid:durableId="2059936924">
    <w:abstractNumId w:val="1"/>
  </w:num>
  <w:num w:numId="22" w16cid:durableId="1896969827">
    <w:abstractNumId w:val="41"/>
  </w:num>
  <w:num w:numId="23" w16cid:durableId="1209339043">
    <w:abstractNumId w:val="25"/>
  </w:num>
  <w:num w:numId="24" w16cid:durableId="1636527395">
    <w:abstractNumId w:val="21"/>
  </w:num>
  <w:num w:numId="25" w16cid:durableId="1308588913">
    <w:abstractNumId w:val="9"/>
  </w:num>
  <w:num w:numId="26" w16cid:durableId="1658805446">
    <w:abstractNumId w:val="19"/>
  </w:num>
  <w:num w:numId="27" w16cid:durableId="1350838287">
    <w:abstractNumId w:val="35"/>
  </w:num>
  <w:num w:numId="28" w16cid:durableId="5365086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570308951">
    <w:abstractNumId w:val="7"/>
  </w:num>
  <w:num w:numId="30" w16cid:durableId="695932290">
    <w:abstractNumId w:val="29"/>
  </w:num>
  <w:num w:numId="31" w16cid:durableId="2131314888">
    <w:abstractNumId w:val="33"/>
  </w:num>
  <w:num w:numId="32" w16cid:durableId="633024237">
    <w:abstractNumId w:val="4"/>
  </w:num>
  <w:num w:numId="33" w16cid:durableId="191650668">
    <w:abstractNumId w:val="39"/>
  </w:num>
  <w:num w:numId="34" w16cid:durableId="335227226">
    <w:abstractNumId w:val="18"/>
  </w:num>
  <w:num w:numId="35" w16cid:durableId="618730479">
    <w:abstractNumId w:val="34"/>
  </w:num>
  <w:num w:numId="36" w16cid:durableId="1759597861">
    <w:abstractNumId w:val="36"/>
  </w:num>
  <w:num w:numId="37" w16cid:durableId="336227635">
    <w:abstractNumId w:val="12"/>
  </w:num>
  <w:num w:numId="38" w16cid:durableId="1333407408">
    <w:abstractNumId w:val="20"/>
  </w:num>
  <w:num w:numId="39" w16cid:durableId="1491749259">
    <w:abstractNumId w:val="16"/>
  </w:num>
  <w:num w:numId="40" w16cid:durableId="1763061099">
    <w:abstractNumId w:val="8"/>
  </w:num>
  <w:num w:numId="41" w16cid:durableId="533425082">
    <w:abstractNumId w:val="38"/>
  </w:num>
  <w:num w:numId="42" w16cid:durableId="1286545468">
    <w:abstractNumId w:val="27"/>
  </w:num>
  <w:num w:numId="43" w16cid:durableId="794829626">
    <w:abstractNumId w:val="10"/>
  </w:num>
  <w:num w:numId="44" w16cid:durableId="1963610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Kfr4LE/ghgZlxhWeQAxk2fca5Q/A1vJzix2MJOPFpAiKtXW/tXpgNFgupHZ+dp1kcSGsn5VzcoNv7H0tlA+BxQ==" w:salt="Q7TCPz93wKNwW/BjgLSqX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D8"/>
    <w:rsid w:val="0000204C"/>
    <w:rsid w:val="000342AF"/>
    <w:rsid w:val="00047D8A"/>
    <w:rsid w:val="00077D84"/>
    <w:rsid w:val="000818F7"/>
    <w:rsid w:val="000D1A31"/>
    <w:rsid w:val="000E7646"/>
    <w:rsid w:val="000F117D"/>
    <w:rsid w:val="001149C0"/>
    <w:rsid w:val="00132738"/>
    <w:rsid w:val="001338B9"/>
    <w:rsid w:val="00134AB5"/>
    <w:rsid w:val="001358D6"/>
    <w:rsid w:val="001566FE"/>
    <w:rsid w:val="001625EE"/>
    <w:rsid w:val="001903DF"/>
    <w:rsid w:val="00191092"/>
    <w:rsid w:val="001C0420"/>
    <w:rsid w:val="001C37F3"/>
    <w:rsid w:val="001D04C2"/>
    <w:rsid w:val="001E6BC4"/>
    <w:rsid w:val="001F3B96"/>
    <w:rsid w:val="00206A21"/>
    <w:rsid w:val="00213F87"/>
    <w:rsid w:val="00214E90"/>
    <w:rsid w:val="00217BBC"/>
    <w:rsid w:val="00220CF9"/>
    <w:rsid w:val="00232A64"/>
    <w:rsid w:val="0028119F"/>
    <w:rsid w:val="002A0ABB"/>
    <w:rsid w:val="002D0341"/>
    <w:rsid w:val="002D16CE"/>
    <w:rsid w:val="002E4148"/>
    <w:rsid w:val="002F736D"/>
    <w:rsid w:val="003000AF"/>
    <w:rsid w:val="00325B84"/>
    <w:rsid w:val="0032754A"/>
    <w:rsid w:val="003374B7"/>
    <w:rsid w:val="00347AF0"/>
    <w:rsid w:val="003861D0"/>
    <w:rsid w:val="003A4159"/>
    <w:rsid w:val="003B09C8"/>
    <w:rsid w:val="003B2A0E"/>
    <w:rsid w:val="003D754A"/>
    <w:rsid w:val="00441BE8"/>
    <w:rsid w:val="00466475"/>
    <w:rsid w:val="004731ED"/>
    <w:rsid w:val="00473D38"/>
    <w:rsid w:val="0048041F"/>
    <w:rsid w:val="00483AD1"/>
    <w:rsid w:val="00484D36"/>
    <w:rsid w:val="00486B4D"/>
    <w:rsid w:val="0049468A"/>
    <w:rsid w:val="004A1196"/>
    <w:rsid w:val="004A4217"/>
    <w:rsid w:val="004B4FD3"/>
    <w:rsid w:val="004D1F10"/>
    <w:rsid w:val="004E655F"/>
    <w:rsid w:val="00521DB5"/>
    <w:rsid w:val="005301FB"/>
    <w:rsid w:val="00540BF5"/>
    <w:rsid w:val="00541094"/>
    <w:rsid w:val="00566252"/>
    <w:rsid w:val="00571723"/>
    <w:rsid w:val="00581CC0"/>
    <w:rsid w:val="00596439"/>
    <w:rsid w:val="005B0B70"/>
    <w:rsid w:val="005B2F11"/>
    <w:rsid w:val="005C5E25"/>
    <w:rsid w:val="005D1ED4"/>
    <w:rsid w:val="005D3C12"/>
    <w:rsid w:val="005E3EB1"/>
    <w:rsid w:val="005F4AC3"/>
    <w:rsid w:val="005F4D90"/>
    <w:rsid w:val="0062393A"/>
    <w:rsid w:val="00667D57"/>
    <w:rsid w:val="00677410"/>
    <w:rsid w:val="006775CF"/>
    <w:rsid w:val="0068754E"/>
    <w:rsid w:val="00693144"/>
    <w:rsid w:val="006A7BFE"/>
    <w:rsid w:val="006B7E47"/>
    <w:rsid w:val="006C16EF"/>
    <w:rsid w:val="006C3229"/>
    <w:rsid w:val="006D49B9"/>
    <w:rsid w:val="006E38B7"/>
    <w:rsid w:val="006E5546"/>
    <w:rsid w:val="006E59DD"/>
    <w:rsid w:val="006F5C1F"/>
    <w:rsid w:val="006F6946"/>
    <w:rsid w:val="00725FC2"/>
    <w:rsid w:val="00750088"/>
    <w:rsid w:val="00750200"/>
    <w:rsid w:val="00750AFA"/>
    <w:rsid w:val="00752671"/>
    <w:rsid w:val="00755999"/>
    <w:rsid w:val="00785262"/>
    <w:rsid w:val="007962C9"/>
    <w:rsid w:val="007A2A67"/>
    <w:rsid w:val="007C0BD1"/>
    <w:rsid w:val="007C2936"/>
    <w:rsid w:val="007C320B"/>
    <w:rsid w:val="00813BC2"/>
    <w:rsid w:val="008269FD"/>
    <w:rsid w:val="0084581D"/>
    <w:rsid w:val="00873695"/>
    <w:rsid w:val="00877A35"/>
    <w:rsid w:val="008905BA"/>
    <w:rsid w:val="008B1FA0"/>
    <w:rsid w:val="008F3A9C"/>
    <w:rsid w:val="008F4DDD"/>
    <w:rsid w:val="0090148C"/>
    <w:rsid w:val="009030D8"/>
    <w:rsid w:val="00911381"/>
    <w:rsid w:val="00914106"/>
    <w:rsid w:val="00922240"/>
    <w:rsid w:val="00925220"/>
    <w:rsid w:val="00954766"/>
    <w:rsid w:val="00960549"/>
    <w:rsid w:val="00963A50"/>
    <w:rsid w:val="009749F2"/>
    <w:rsid w:val="00982829"/>
    <w:rsid w:val="009929DE"/>
    <w:rsid w:val="009A24A4"/>
    <w:rsid w:val="009B5ED7"/>
    <w:rsid w:val="009C01D5"/>
    <w:rsid w:val="009C2A6C"/>
    <w:rsid w:val="009E2BA4"/>
    <w:rsid w:val="009E66BE"/>
    <w:rsid w:val="009E6E9E"/>
    <w:rsid w:val="009F5270"/>
    <w:rsid w:val="00A10F35"/>
    <w:rsid w:val="00A1677C"/>
    <w:rsid w:val="00A230E9"/>
    <w:rsid w:val="00A25546"/>
    <w:rsid w:val="00A322F9"/>
    <w:rsid w:val="00A424A4"/>
    <w:rsid w:val="00A44004"/>
    <w:rsid w:val="00A45EB8"/>
    <w:rsid w:val="00A55C61"/>
    <w:rsid w:val="00A74EF0"/>
    <w:rsid w:val="00A8026F"/>
    <w:rsid w:val="00A95E23"/>
    <w:rsid w:val="00A96680"/>
    <w:rsid w:val="00AA01B5"/>
    <w:rsid w:val="00AB618F"/>
    <w:rsid w:val="00AD6804"/>
    <w:rsid w:val="00B04A07"/>
    <w:rsid w:val="00B1318F"/>
    <w:rsid w:val="00B2250D"/>
    <w:rsid w:val="00B24220"/>
    <w:rsid w:val="00B27F13"/>
    <w:rsid w:val="00B36D51"/>
    <w:rsid w:val="00B42167"/>
    <w:rsid w:val="00B77005"/>
    <w:rsid w:val="00B817CD"/>
    <w:rsid w:val="00B95016"/>
    <w:rsid w:val="00BA18E8"/>
    <w:rsid w:val="00BF55E1"/>
    <w:rsid w:val="00BF78B2"/>
    <w:rsid w:val="00C232FB"/>
    <w:rsid w:val="00C276DA"/>
    <w:rsid w:val="00C3707F"/>
    <w:rsid w:val="00C46251"/>
    <w:rsid w:val="00C50ED5"/>
    <w:rsid w:val="00C5219D"/>
    <w:rsid w:val="00C5685E"/>
    <w:rsid w:val="00C630A7"/>
    <w:rsid w:val="00C66C98"/>
    <w:rsid w:val="00C81319"/>
    <w:rsid w:val="00C81CE8"/>
    <w:rsid w:val="00C82E79"/>
    <w:rsid w:val="00CA4BF3"/>
    <w:rsid w:val="00CA541E"/>
    <w:rsid w:val="00CB27C4"/>
    <w:rsid w:val="00CB65E2"/>
    <w:rsid w:val="00CD47F3"/>
    <w:rsid w:val="00CF03B8"/>
    <w:rsid w:val="00D05614"/>
    <w:rsid w:val="00D1760F"/>
    <w:rsid w:val="00D2090A"/>
    <w:rsid w:val="00D22453"/>
    <w:rsid w:val="00D3524D"/>
    <w:rsid w:val="00D3663A"/>
    <w:rsid w:val="00D61E26"/>
    <w:rsid w:val="00D63AC8"/>
    <w:rsid w:val="00D63D36"/>
    <w:rsid w:val="00D85A35"/>
    <w:rsid w:val="00D90F70"/>
    <w:rsid w:val="00DA235D"/>
    <w:rsid w:val="00DC00A9"/>
    <w:rsid w:val="00DC52DE"/>
    <w:rsid w:val="00DD06CB"/>
    <w:rsid w:val="00DD4931"/>
    <w:rsid w:val="00DE3260"/>
    <w:rsid w:val="00DE7E6D"/>
    <w:rsid w:val="00E05F43"/>
    <w:rsid w:val="00E071DD"/>
    <w:rsid w:val="00E2345A"/>
    <w:rsid w:val="00E246B0"/>
    <w:rsid w:val="00E358B9"/>
    <w:rsid w:val="00E36E8A"/>
    <w:rsid w:val="00E43370"/>
    <w:rsid w:val="00E55BFD"/>
    <w:rsid w:val="00E67513"/>
    <w:rsid w:val="00E67DFE"/>
    <w:rsid w:val="00E84B14"/>
    <w:rsid w:val="00E857F8"/>
    <w:rsid w:val="00E92AB1"/>
    <w:rsid w:val="00EA0999"/>
    <w:rsid w:val="00EA4C3D"/>
    <w:rsid w:val="00EB17B6"/>
    <w:rsid w:val="00EE0631"/>
    <w:rsid w:val="00EE0EF4"/>
    <w:rsid w:val="00EE4AFD"/>
    <w:rsid w:val="00EE7CFF"/>
    <w:rsid w:val="00F60017"/>
    <w:rsid w:val="00F71F95"/>
    <w:rsid w:val="00F860FF"/>
    <w:rsid w:val="00FA67EA"/>
    <w:rsid w:val="00FB0CB7"/>
    <w:rsid w:val="00FB7127"/>
    <w:rsid w:val="00FF6048"/>
    <w:rsid w:val="22126C22"/>
    <w:rsid w:val="27DAA4E3"/>
    <w:rsid w:val="51710262"/>
    <w:rsid w:val="78556AA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CB08"/>
  <w15:docId w15:val="{63D980B7-7882-4B00-A054-616817F7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basedOn w:val="Normalny"/>
    <w:next w:val="Normalny"/>
    <w:link w:val="Nagwek1Znak"/>
    <w:uiPriority w:val="9"/>
    <w:qFormat/>
    <w:rsid w:val="009030D8"/>
    <w:pPr>
      <w:keepNext/>
      <w:spacing w:after="0" w:line="240" w:lineRule="auto"/>
      <w:outlineLvl w:val="0"/>
    </w:pPr>
    <w:rPr>
      <w:rFonts w:ascii="Times New Roman" w:eastAsia="Times New Roman" w:hAnsi="Times New Roman" w:cs="Times New Roman"/>
      <w:b/>
      <w:sz w:val="28"/>
      <w:szCs w:val="26"/>
      <w:lang w:eastAsia="pl-PL"/>
    </w:rPr>
  </w:style>
  <w:style w:type="paragraph" w:styleId="Nagwek2">
    <w:name w:val="heading 2"/>
    <w:basedOn w:val="Normalny"/>
    <w:next w:val="Normalny"/>
    <w:link w:val="Nagwek2Znak"/>
    <w:uiPriority w:val="9"/>
    <w:qFormat/>
    <w:rsid w:val="009030D8"/>
    <w:pPr>
      <w:keepNext/>
      <w:spacing w:after="0" w:line="240" w:lineRule="auto"/>
      <w:outlineLvl w:val="1"/>
    </w:pPr>
    <w:rPr>
      <w:rFonts w:ascii="Times New Roman" w:eastAsia="Times New Roman" w:hAnsi="Times New Roman" w:cs="Times New Roman"/>
      <w:b/>
      <w:bCs/>
      <w:sz w:val="26"/>
      <w:szCs w:val="26"/>
      <w:lang w:eastAsia="pl-PL"/>
    </w:rPr>
  </w:style>
  <w:style w:type="paragraph" w:styleId="Nagwek3">
    <w:name w:val="heading 3"/>
    <w:basedOn w:val="Normalny"/>
    <w:next w:val="Normalny"/>
    <w:link w:val="Nagwek3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2"/>
    </w:pPr>
    <w:rPr>
      <w:rFonts w:ascii="Times New Roman" w:eastAsia="Times New Roman" w:hAnsi="Times New Roman" w:cs="Times New Roman"/>
      <w:b/>
      <w:i/>
      <w:szCs w:val="24"/>
      <w:lang w:eastAsia="pl-PL"/>
    </w:rPr>
  </w:style>
  <w:style w:type="paragraph" w:styleId="Nagwek4">
    <w:name w:val="heading 4"/>
    <w:basedOn w:val="Normalny"/>
    <w:next w:val="Normalny"/>
    <w:link w:val="Nagwek4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3"/>
    </w:pPr>
    <w:rPr>
      <w:rFonts w:ascii="Times New Roman" w:eastAsia="Times New Roman" w:hAnsi="Times New Roman" w:cs="Times New Roman"/>
      <w:b/>
      <w:szCs w:val="24"/>
      <w:lang w:eastAsia="pl-PL"/>
    </w:rPr>
  </w:style>
  <w:style w:type="paragraph" w:styleId="Nagwek5">
    <w:name w:val="heading 5"/>
    <w:basedOn w:val="Normalny"/>
    <w:next w:val="Normalny"/>
    <w:link w:val="Nagwek5Znak"/>
    <w:uiPriority w:val="9"/>
    <w:qFormat/>
    <w:rsid w:val="009030D8"/>
    <w:pPr>
      <w:keepNext/>
      <w:spacing w:after="0" w:line="240" w:lineRule="auto"/>
      <w:outlineLvl w:val="4"/>
    </w:pPr>
    <w:rPr>
      <w:rFonts w:ascii="Times New Roman" w:eastAsia="Times New Roman" w:hAnsi="Times New Roman" w:cs="Times New Roman"/>
      <w:b/>
      <w:sz w:val="24"/>
      <w:szCs w:val="26"/>
      <w:lang w:eastAsia="pl-PL"/>
    </w:rPr>
  </w:style>
  <w:style w:type="paragraph" w:styleId="Nagwek6">
    <w:name w:val="heading 6"/>
    <w:basedOn w:val="Normalny"/>
    <w:next w:val="Normalny"/>
    <w:link w:val="Nagwek6Znak"/>
    <w:uiPriority w:val="9"/>
    <w:qFormat/>
    <w:rsid w:val="009030D8"/>
    <w:pPr>
      <w:keepNext/>
      <w:spacing w:after="0" w:line="240" w:lineRule="auto"/>
      <w:jc w:val="center"/>
      <w:outlineLvl w:val="5"/>
    </w:pPr>
    <w:rPr>
      <w:rFonts w:ascii="Times New Roman" w:eastAsia="Times New Roman" w:hAnsi="Times New Roman" w:cs="Times New Roman"/>
      <w:b/>
      <w:sz w:val="28"/>
      <w:szCs w:val="26"/>
      <w:lang w:eastAsia="pl-PL"/>
    </w:rPr>
  </w:style>
  <w:style w:type="paragraph" w:styleId="Nagwek7">
    <w:name w:val="heading 7"/>
    <w:basedOn w:val="Normalny"/>
    <w:next w:val="Normalny"/>
    <w:link w:val="Nagwek7Znak"/>
    <w:uiPriority w:val="9"/>
    <w:qFormat/>
    <w:rsid w:val="009030D8"/>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uiPriority w:val="9"/>
    <w:qFormat/>
    <w:rsid w:val="009030D8"/>
    <w:pPr>
      <w:keepNext/>
      <w:spacing w:after="0" w:line="240" w:lineRule="auto"/>
      <w:outlineLvl w:val="7"/>
    </w:pPr>
    <w:rPr>
      <w:rFonts w:ascii="Times New Roman" w:eastAsia="Times New Roman" w:hAnsi="Times New Roman" w:cs="Times New Roman"/>
      <w:i/>
      <w:iCs/>
      <w:szCs w:val="24"/>
      <w:lang w:eastAsia="pl-PL"/>
    </w:rPr>
  </w:style>
  <w:style w:type="paragraph" w:styleId="Nagwek9">
    <w:name w:val="heading 9"/>
    <w:basedOn w:val="Normalny"/>
    <w:next w:val="Normalny"/>
    <w:link w:val="Nagwek9Znak"/>
    <w:uiPriority w:val="9"/>
    <w:qFormat/>
    <w:rsid w:val="009030D8"/>
    <w:pPr>
      <w:keepNext/>
      <w:spacing w:after="0" w:line="240" w:lineRule="auto"/>
      <w:ind w:firstLine="708"/>
      <w:outlineLvl w:val="8"/>
    </w:pPr>
    <w:rPr>
      <w:rFonts w:ascii="Times New Roman" w:eastAsia="Times New Roman" w:hAnsi="Times New Roman" w:cs="Times New Roman"/>
      <w:b/>
      <w:bCs/>
      <w:color w:val="FF000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
    <w:rsid w:val="009030D8"/>
    <w:rPr>
      <w:rFonts w:ascii="Times New Roman" w:eastAsia="Times New Roman" w:hAnsi="Times New Roman" w:cs="Times New Roman"/>
      <w:b/>
      <w:sz w:val="28"/>
      <w:szCs w:val="26"/>
      <w:lang w:eastAsia="pl-PL"/>
    </w:rPr>
  </w:style>
  <w:style w:type="character" w:customStyle="1" w:styleId="Nagwek2Znak">
    <w:name w:val="Nagłówek 2 Znak"/>
    <w:basedOn w:val="Domylnaczcionkaakapitu"/>
    <w:link w:val="Nagwek2"/>
    <w:uiPriority w:val="9"/>
    <w:rsid w:val="009030D8"/>
    <w:rPr>
      <w:rFonts w:ascii="Times New Roman" w:eastAsia="Times New Roman" w:hAnsi="Times New Roman" w:cs="Times New Roman"/>
      <w:b/>
      <w:bCs/>
      <w:sz w:val="26"/>
      <w:szCs w:val="26"/>
      <w:lang w:eastAsia="pl-PL"/>
    </w:rPr>
  </w:style>
  <w:style w:type="character" w:customStyle="1" w:styleId="Nagwek3Znak">
    <w:name w:val="Nagłówek 3 Znak"/>
    <w:basedOn w:val="Domylnaczcionkaakapitu"/>
    <w:link w:val="Nagwek3"/>
    <w:uiPriority w:val="9"/>
    <w:rsid w:val="009030D8"/>
    <w:rPr>
      <w:rFonts w:ascii="Times New Roman" w:eastAsia="Times New Roman" w:hAnsi="Times New Roman" w:cs="Times New Roman"/>
      <w:b/>
      <w:i/>
      <w:szCs w:val="24"/>
      <w:shd w:val="pct15" w:color="auto" w:fill="FFFFFF"/>
      <w:lang w:eastAsia="pl-PL"/>
    </w:rPr>
  </w:style>
  <w:style w:type="character" w:customStyle="1" w:styleId="Nagwek4Znak">
    <w:name w:val="Nagłówek 4 Znak"/>
    <w:basedOn w:val="Domylnaczcionkaakapitu"/>
    <w:link w:val="Nagwek4"/>
    <w:uiPriority w:val="9"/>
    <w:rsid w:val="009030D8"/>
    <w:rPr>
      <w:rFonts w:ascii="Times New Roman" w:eastAsia="Times New Roman" w:hAnsi="Times New Roman" w:cs="Times New Roman"/>
      <w:b/>
      <w:szCs w:val="24"/>
      <w:shd w:val="pct15" w:color="auto" w:fill="FFFFFF"/>
      <w:lang w:eastAsia="pl-PL"/>
    </w:rPr>
  </w:style>
  <w:style w:type="character" w:customStyle="1" w:styleId="Nagwek5Znak">
    <w:name w:val="Nagłówek 5 Znak"/>
    <w:basedOn w:val="Domylnaczcionkaakapitu"/>
    <w:link w:val="Nagwek5"/>
    <w:uiPriority w:val="9"/>
    <w:rsid w:val="009030D8"/>
    <w:rPr>
      <w:rFonts w:ascii="Times New Roman" w:eastAsia="Times New Roman" w:hAnsi="Times New Roman" w:cs="Times New Roman"/>
      <w:b/>
      <w:sz w:val="24"/>
      <w:szCs w:val="26"/>
      <w:lang w:eastAsia="pl-PL"/>
    </w:rPr>
  </w:style>
  <w:style w:type="character" w:customStyle="1" w:styleId="Nagwek6Znak">
    <w:name w:val="Nagłówek 6 Znak"/>
    <w:basedOn w:val="Domylnaczcionkaakapitu"/>
    <w:link w:val="Nagwek6"/>
    <w:uiPriority w:val="9"/>
    <w:rsid w:val="009030D8"/>
    <w:rPr>
      <w:rFonts w:ascii="Times New Roman" w:eastAsia="Times New Roman" w:hAnsi="Times New Roman" w:cs="Times New Roman"/>
      <w:b/>
      <w:sz w:val="28"/>
      <w:szCs w:val="26"/>
      <w:lang w:eastAsia="pl-PL"/>
    </w:rPr>
  </w:style>
  <w:style w:type="character" w:customStyle="1" w:styleId="Nagwek7Znak">
    <w:name w:val="Nagłówek 7 Znak"/>
    <w:basedOn w:val="Domylnaczcionkaakapitu"/>
    <w:link w:val="Nagwek7"/>
    <w:uiPriority w:val="9"/>
    <w:rsid w:val="009030D8"/>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uiPriority w:val="9"/>
    <w:rsid w:val="009030D8"/>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uiPriority w:val="9"/>
    <w:rsid w:val="009030D8"/>
    <w:rPr>
      <w:rFonts w:ascii="Times New Roman" w:eastAsia="Times New Roman" w:hAnsi="Times New Roman" w:cs="Times New Roman"/>
      <w:b/>
      <w:bCs/>
      <w:color w:val="FF0000"/>
      <w:szCs w:val="24"/>
      <w:lang w:eastAsia="pl-PL"/>
    </w:rPr>
  </w:style>
  <w:style w:type="numbering" w:customStyle="1" w:styleId="Bezlisty1">
    <w:name w:val="Bez listy1"/>
    <w:next w:val="Bezlisty"/>
    <w:uiPriority w:val="99"/>
    <w:semiHidden/>
    <w:unhideWhenUsed/>
    <w:rsid w:val="009030D8"/>
  </w:style>
  <w:style w:type="paragraph" w:styleId="Nagwek">
    <w:name w:val="header"/>
    <w:basedOn w:val="Normalny"/>
    <w:link w:val="NagwekZnak"/>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30D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030D8"/>
    <w:pPr>
      <w:spacing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9030D8"/>
    <w:rPr>
      <w:rFonts w:ascii="Times New Roman" w:eastAsia="Times New Roman" w:hAnsi="Times New Roman" w:cs="Times New Roman"/>
      <w:i/>
      <w:iCs/>
      <w:sz w:val="24"/>
      <w:szCs w:val="24"/>
      <w:lang w:eastAsia="pl-PL"/>
    </w:rPr>
  </w:style>
  <w:style w:type="paragraph" w:styleId="Stopka">
    <w:name w:val="footer"/>
    <w:basedOn w:val="Normalny"/>
    <w:link w:val="StopkaZnak"/>
    <w:uiPriority w:val="99"/>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30D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9030D8"/>
    <w:pPr>
      <w:tabs>
        <w:tab w:val="left" w:pos="720"/>
      </w:tabs>
      <w:spacing w:after="0" w:line="240" w:lineRule="auto"/>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uiPriority w:val="99"/>
    <w:rsid w:val="009030D8"/>
    <w:rPr>
      <w:rFonts w:ascii="Times New Roman" w:eastAsia="Times New Roman" w:hAnsi="Times New Roman" w:cs="Times New Roman"/>
      <w:b/>
      <w:szCs w:val="20"/>
      <w:lang w:eastAsia="pl-PL"/>
    </w:rPr>
  </w:style>
  <w:style w:type="paragraph" w:customStyle="1" w:styleId="Ela">
    <w:name w:val="Ela"/>
    <w:rsid w:val="009030D8"/>
    <w:pPr>
      <w:spacing w:after="0" w:line="240" w:lineRule="auto"/>
    </w:pPr>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rsid w:val="009030D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30D8"/>
    <w:rPr>
      <w:rFonts w:ascii="Times New Roman" w:eastAsia="Times New Roman" w:hAnsi="Times New Roman" w:cs="Times New Roman"/>
      <w:sz w:val="24"/>
      <w:szCs w:val="24"/>
      <w:lang w:eastAsia="pl-PL"/>
    </w:rPr>
  </w:style>
  <w:style w:type="paragraph" w:customStyle="1" w:styleId="pkt">
    <w:name w:val="pkt"/>
    <w:basedOn w:val="Normalny"/>
    <w:rsid w:val="009030D8"/>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030D8"/>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030D8"/>
    <w:pPr>
      <w:ind w:left="850" w:hanging="425"/>
    </w:pPr>
  </w:style>
  <w:style w:type="paragraph" w:styleId="Tekstblokowy">
    <w:name w:val="Block Text"/>
    <w:basedOn w:val="Normalny"/>
    <w:semiHidden/>
    <w:rsid w:val="009030D8"/>
    <w:pPr>
      <w:spacing w:after="0" w:line="240" w:lineRule="auto"/>
      <w:ind w:left="180" w:right="-1" w:hanging="180"/>
      <w:jc w:val="both"/>
    </w:pPr>
    <w:rPr>
      <w:rFonts w:ascii="Arial" w:eastAsia="Times New Roman" w:hAnsi="Arial" w:cs="Arial"/>
      <w:lang w:eastAsia="pl-PL"/>
    </w:rPr>
  </w:style>
  <w:style w:type="paragraph" w:styleId="Legenda">
    <w:name w:val="caption"/>
    <w:basedOn w:val="Normalny"/>
    <w:next w:val="Normalny"/>
    <w:uiPriority w:val="35"/>
    <w:qFormat/>
    <w:rsid w:val="009030D8"/>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line="240" w:lineRule="auto"/>
      <w:ind w:right="23"/>
      <w:jc w:val="center"/>
    </w:pPr>
    <w:rPr>
      <w:rFonts w:ascii="Times New Roman" w:eastAsia="Times New Roman" w:hAnsi="Times New Roman" w:cs="Times New Roman"/>
      <w:b/>
      <w:color w:val="000000"/>
      <w:sz w:val="28"/>
      <w:szCs w:val="36"/>
      <w:lang w:eastAsia="pl-PL"/>
    </w:rPr>
  </w:style>
  <w:style w:type="paragraph" w:styleId="Tekstpodstawowywcity">
    <w:name w:val="Body Text Indent"/>
    <w:basedOn w:val="Normalny"/>
    <w:link w:val="TekstpodstawowywcityZnak"/>
    <w:semiHidden/>
    <w:rsid w:val="009030D8"/>
    <w:pPr>
      <w:spacing w:after="0" w:line="240" w:lineRule="auto"/>
      <w:ind w:left="360" w:hanging="240"/>
    </w:pPr>
    <w:rPr>
      <w:rFonts w:ascii="Times New Roman" w:eastAsia="Times New Roman" w:hAnsi="Times New Roman" w:cs="Times New Roman"/>
      <w:bCs/>
      <w:szCs w:val="24"/>
      <w:lang w:eastAsia="pl-PL"/>
    </w:rPr>
  </w:style>
  <w:style w:type="character" w:customStyle="1" w:styleId="TekstpodstawowywcityZnak">
    <w:name w:val="Tekst podstawowy wcięty Znak"/>
    <w:basedOn w:val="Domylnaczcionkaakapitu"/>
    <w:link w:val="Tekstpodstawowywcity"/>
    <w:semiHidden/>
    <w:rsid w:val="009030D8"/>
    <w:rPr>
      <w:rFonts w:ascii="Times New Roman" w:eastAsia="Times New Roman" w:hAnsi="Times New Roman" w:cs="Times New Roman"/>
      <w:bCs/>
      <w:szCs w:val="24"/>
      <w:lang w:eastAsia="pl-PL"/>
    </w:rPr>
  </w:style>
  <w:style w:type="paragraph" w:styleId="Tekstpodstawowywcity2">
    <w:name w:val="Body Text Indent 2"/>
    <w:basedOn w:val="Normalny"/>
    <w:link w:val="Tekstpodstawowywcity2Znak"/>
    <w:semiHidden/>
    <w:rsid w:val="009030D8"/>
    <w:pPr>
      <w:spacing w:after="0" w:line="240" w:lineRule="auto"/>
      <w:ind w:left="225" w:hanging="225"/>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030D8"/>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030D8"/>
    <w:pPr>
      <w:spacing w:after="0" w:line="240" w:lineRule="auto"/>
      <w:ind w:left="180" w:hanging="360"/>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semiHidden/>
    <w:rsid w:val="009030D8"/>
    <w:rPr>
      <w:rFonts w:ascii="Times New Roman" w:eastAsia="Times New Roman" w:hAnsi="Times New Roman" w:cs="Times New Roman"/>
      <w:szCs w:val="24"/>
      <w:lang w:eastAsia="pl-PL"/>
    </w:rPr>
  </w:style>
  <w:style w:type="character" w:styleId="Hipercze">
    <w:name w:val="Hyperlink"/>
    <w:uiPriority w:val="99"/>
    <w:rsid w:val="009030D8"/>
    <w:rPr>
      <w:color w:val="0000FF"/>
      <w:u w:val="single"/>
    </w:rPr>
  </w:style>
  <w:style w:type="character" w:styleId="Odwoaniedokomentarza">
    <w:name w:val="annotation reference"/>
    <w:uiPriority w:val="99"/>
    <w:semiHidden/>
    <w:rsid w:val="009030D8"/>
    <w:rPr>
      <w:sz w:val="16"/>
      <w:szCs w:val="16"/>
    </w:rPr>
  </w:style>
  <w:style w:type="paragraph" w:styleId="Tekstkomentarza">
    <w:name w:val="annotation text"/>
    <w:basedOn w:val="Normalny"/>
    <w:link w:val="TekstkomentarzaZnak1"/>
    <w:uiPriority w:val="99"/>
    <w:semiHidden/>
    <w:rsid w:val="009030D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9030D8"/>
    <w:rPr>
      <w:sz w:val="20"/>
      <w:szCs w:val="20"/>
    </w:rPr>
  </w:style>
  <w:style w:type="paragraph" w:styleId="Zagicieoddouformularza">
    <w:name w:val="HTML Bottom of Form"/>
    <w:basedOn w:val="Normalny"/>
    <w:next w:val="Normalny"/>
    <w:link w:val="ZagicieoddouformularzaZnak"/>
    <w:hidden/>
    <w:rsid w:val="009030D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9030D8"/>
    <w:rPr>
      <w:rFonts w:ascii="Arial" w:eastAsia="Times New Roman" w:hAnsi="Arial" w:cs="Arial"/>
      <w:vanish/>
      <w:sz w:val="16"/>
      <w:szCs w:val="16"/>
      <w:lang w:eastAsia="pl-PL"/>
    </w:rPr>
  </w:style>
  <w:style w:type="paragraph" w:styleId="Zagicieodgryformularza">
    <w:name w:val="HTML Top of Form"/>
    <w:basedOn w:val="Normalny"/>
    <w:next w:val="Normalny"/>
    <w:link w:val="ZagicieodgryformularzaZnak"/>
    <w:hidden/>
    <w:rsid w:val="009030D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9030D8"/>
    <w:rPr>
      <w:rFonts w:ascii="Arial" w:eastAsia="Times New Roman" w:hAnsi="Arial" w:cs="Arial"/>
      <w:vanish/>
      <w:sz w:val="16"/>
      <w:szCs w:val="16"/>
      <w:lang w:eastAsia="pl-PL"/>
    </w:rPr>
  </w:style>
  <w:style w:type="paragraph" w:styleId="Lista">
    <w:name w:val="List"/>
    <w:basedOn w:val="Normalny"/>
    <w:semiHidden/>
    <w:unhideWhenUsed/>
    <w:rsid w:val="009030D8"/>
    <w:pPr>
      <w:widowControl w:val="0"/>
      <w:suppressAutoHyphens/>
      <w:spacing w:before="120" w:after="0" w:line="240" w:lineRule="auto"/>
      <w:jc w:val="both"/>
    </w:pPr>
    <w:rPr>
      <w:rFonts w:ascii="Arial" w:eastAsia="Times New Roman" w:hAnsi="Arial" w:cs="Courier New"/>
      <w:sz w:val="24"/>
      <w:szCs w:val="20"/>
      <w:lang w:eastAsia="ar-SA"/>
    </w:rPr>
  </w:style>
  <w:style w:type="paragraph" w:customStyle="1" w:styleId="Tekstpodstawowywcity31">
    <w:name w:val="Tekst podstawowy wcięty 31"/>
    <w:basedOn w:val="Normalny"/>
    <w:rsid w:val="009030D8"/>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Standardowy0">
    <w:name w:val="Standardowy.+"/>
    <w:rsid w:val="009030D8"/>
    <w:pPr>
      <w:suppressAutoHyphens/>
      <w:autoSpaceDE w:val="0"/>
      <w:spacing w:after="0" w:line="240" w:lineRule="auto"/>
    </w:pPr>
    <w:rPr>
      <w:rFonts w:ascii="Arial" w:eastAsia="Times New Roman" w:hAnsi="Arial" w:cs="Arial"/>
      <w:sz w:val="20"/>
      <w:szCs w:val="24"/>
      <w:lang w:eastAsia="pl-PL"/>
    </w:rPr>
  </w:style>
  <w:style w:type="paragraph" w:customStyle="1" w:styleId="tekst">
    <w:name w:val="tekst"/>
    <w:basedOn w:val="Normalny"/>
    <w:rsid w:val="009030D8"/>
    <w:pPr>
      <w:suppressLineNumbers/>
      <w:suppressAutoHyphens/>
      <w:spacing w:before="60" w:after="60" w:line="240" w:lineRule="auto"/>
      <w:jc w:val="both"/>
    </w:pPr>
    <w:rPr>
      <w:rFonts w:ascii="Times New Roman" w:eastAsia="Times New Roman" w:hAnsi="Times New Roman" w:cs="Times New Roman"/>
      <w:sz w:val="24"/>
      <w:szCs w:val="20"/>
      <w:lang w:eastAsia="pl-PL"/>
    </w:rPr>
  </w:style>
  <w:style w:type="paragraph" w:customStyle="1" w:styleId="Kropki">
    <w:name w:val="Kropki"/>
    <w:basedOn w:val="Normalny"/>
    <w:rsid w:val="009030D8"/>
    <w:pPr>
      <w:tabs>
        <w:tab w:val="left" w:leader="dot" w:pos="9072"/>
      </w:tabs>
      <w:spacing w:after="0" w:line="360" w:lineRule="auto"/>
      <w:jc w:val="right"/>
    </w:pPr>
    <w:rPr>
      <w:rFonts w:ascii="Arial" w:eastAsia="Times New Roman" w:hAnsi="Arial" w:cs="Times New Roman"/>
      <w:noProof/>
      <w:sz w:val="24"/>
      <w:szCs w:val="20"/>
      <w:lang w:eastAsia="pl-PL"/>
    </w:rPr>
  </w:style>
  <w:style w:type="paragraph" w:customStyle="1" w:styleId="gog">
    <w:name w:val="gog"/>
    <w:rsid w:val="009030D8"/>
    <w:pPr>
      <w:spacing w:after="0" w:line="240" w:lineRule="auto"/>
    </w:pPr>
    <w:rPr>
      <w:rFonts w:ascii="Times New Roman" w:eastAsia="Times New Roman" w:hAnsi="Times New Roman" w:cs="Times New Roman"/>
      <w:color w:val="000000"/>
      <w:sz w:val="26"/>
      <w:szCs w:val="20"/>
      <w:lang w:eastAsia="pl-PL"/>
    </w:rPr>
  </w:style>
  <w:style w:type="paragraph" w:styleId="Tekstprzypisudolnego">
    <w:name w:val="footnote text"/>
    <w:basedOn w:val="Normalny"/>
    <w:link w:val="TekstprzypisudolnegoZnak"/>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30D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30D8"/>
    <w:rPr>
      <w:vertAlign w:val="superscript"/>
    </w:rPr>
  </w:style>
  <w:style w:type="paragraph" w:customStyle="1" w:styleId="Akapit">
    <w:name w:val="Akapit"/>
    <w:basedOn w:val="Normalny"/>
    <w:rsid w:val="009030D8"/>
    <w:pPr>
      <w:spacing w:after="120" w:line="240" w:lineRule="auto"/>
      <w:jc w:val="both"/>
    </w:pPr>
    <w:rPr>
      <w:rFonts w:ascii="Arial" w:eastAsia="Times New Roman" w:hAnsi="Arial" w:cs="Arial"/>
      <w:sz w:val="24"/>
      <w:lang w:eastAsia="pl-PL"/>
    </w:rPr>
  </w:style>
  <w:style w:type="paragraph" w:styleId="Tytu">
    <w:name w:val="Title"/>
    <w:basedOn w:val="Normalny"/>
    <w:link w:val="TytuZnak"/>
    <w:qFormat/>
    <w:rsid w:val="009030D8"/>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9030D8"/>
    <w:rPr>
      <w:rFonts w:ascii="Times New Roman" w:eastAsia="Times New Roman" w:hAnsi="Times New Roman" w:cs="Times New Roman"/>
      <w:sz w:val="28"/>
      <w:szCs w:val="28"/>
      <w:lang w:eastAsia="pl-PL"/>
    </w:rPr>
  </w:style>
  <w:style w:type="paragraph" w:customStyle="1" w:styleId="xl28">
    <w:name w:val="xl28"/>
    <w:basedOn w:val="Normalny"/>
    <w:rsid w:val="009030D8"/>
    <w:pPr>
      <w:pBdr>
        <w:left w:val="single" w:sz="8" w:space="0" w:color="auto"/>
        <w:bottom w:val="single" w:sz="4" w:space="0" w:color="auto"/>
        <w:right w:val="single" w:sz="4" w:space="0" w:color="auto"/>
      </w:pBdr>
      <w:spacing w:before="100" w:after="100" w:line="240" w:lineRule="auto"/>
      <w:jc w:val="center"/>
    </w:pPr>
    <w:rPr>
      <w:rFonts w:ascii="Arial" w:eastAsia="Times New Roman" w:hAnsi="Arial" w:cs="Times New Roman"/>
      <w:sz w:val="24"/>
      <w:szCs w:val="24"/>
      <w:lang w:eastAsia="pl-PL"/>
    </w:rPr>
  </w:style>
  <w:style w:type="paragraph" w:customStyle="1" w:styleId="BodyText21">
    <w:name w:val="Body Text 21"/>
    <w:basedOn w:val="Normalny"/>
    <w:rsid w:val="009030D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ProPublico">
    <w:name w:val="ProPublico"/>
    <w:rsid w:val="009030D8"/>
    <w:pPr>
      <w:spacing w:after="0" w:line="360" w:lineRule="auto"/>
    </w:pPr>
    <w:rPr>
      <w:rFonts w:ascii="Arial" w:eastAsia="Times New Roman" w:hAnsi="Arial" w:cs="Times New Roman"/>
      <w:noProof/>
      <w:szCs w:val="20"/>
      <w:lang w:eastAsia="pl-PL"/>
    </w:rPr>
  </w:style>
  <w:style w:type="paragraph" w:styleId="Tekstdymka">
    <w:name w:val="Balloon Text"/>
    <w:basedOn w:val="Normalny"/>
    <w:link w:val="TekstdymkaZnak"/>
    <w:uiPriority w:val="99"/>
    <w:semiHidden/>
    <w:unhideWhenUsed/>
    <w:rsid w:val="009030D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030D8"/>
    <w:rPr>
      <w:rFonts w:ascii="Tahoma" w:eastAsia="Times New Roman" w:hAnsi="Tahoma" w:cs="Tahoma"/>
      <w:sz w:val="16"/>
      <w:szCs w:val="16"/>
      <w:lang w:eastAsia="pl-PL"/>
    </w:rPr>
  </w:style>
  <w:style w:type="paragraph" w:customStyle="1" w:styleId="Standardowytekst">
    <w:name w:val="Standardowy.tekst"/>
    <w:rsid w:val="009030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030D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030D8"/>
    <w:rPr>
      <w:vertAlign w:val="superscript"/>
    </w:rPr>
  </w:style>
  <w:style w:type="paragraph" w:customStyle="1" w:styleId="Tekstpodstawowy21">
    <w:name w:val="Tekst podstawowy 21"/>
    <w:basedOn w:val="Normalny"/>
    <w:rsid w:val="009030D8"/>
    <w:pPr>
      <w:spacing w:before="120" w:after="0" w:line="240" w:lineRule="auto"/>
      <w:jc w:val="both"/>
    </w:pPr>
    <w:rPr>
      <w:rFonts w:ascii="Times New Roman" w:eastAsia="Times New Roman" w:hAnsi="Times New Roman" w:cs="Times New Roman"/>
      <w:sz w:val="24"/>
      <w:szCs w:val="20"/>
      <w:lang w:eastAsia="pl-PL"/>
    </w:rPr>
  </w:style>
  <w:style w:type="character" w:customStyle="1" w:styleId="FontStyle67">
    <w:name w:val="Font Style67"/>
    <w:rsid w:val="009030D8"/>
    <w:rPr>
      <w:rFonts w:ascii="Times New Roman" w:hAnsi="Times New Roman" w:cs="Times New Roman"/>
      <w:sz w:val="18"/>
      <w:szCs w:val="18"/>
    </w:rPr>
  </w:style>
  <w:style w:type="paragraph" w:styleId="Akapitzlist">
    <w:name w:val="List Paragraph"/>
    <w:aliases w:val="zwykły tekst,List Paragraph1,BulletC,normalny tekst,Obiekt,Data wydania,CW_Lista,Nagłowek 3,Numerowanie,L1,Preambuła,Akapit z listą BS,Kolorowa lista — akcent 11,Dot pt,F5 List Paragraph,Recommendation,List Paragraph11,lp1"/>
    <w:basedOn w:val="Normalny"/>
    <w:link w:val="AkapitzlistZnak"/>
    <w:uiPriority w:val="34"/>
    <w:qFormat/>
    <w:rsid w:val="009030D8"/>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9030D8"/>
    <w:rPr>
      <w:b/>
      <w:bCs/>
    </w:rPr>
  </w:style>
  <w:style w:type="character" w:customStyle="1" w:styleId="TematkomentarzaZnak">
    <w:name w:val="Temat komentarza Znak"/>
    <w:basedOn w:val="TekstkomentarzaZnak"/>
    <w:link w:val="Tematkomentarza"/>
    <w:semiHidden/>
    <w:rsid w:val="009030D8"/>
    <w:rPr>
      <w:rFonts w:ascii="Times New Roman" w:eastAsia="Times New Roman" w:hAnsi="Times New Roman" w:cs="Times New Roman"/>
      <w:b/>
      <w:bCs/>
      <w:sz w:val="20"/>
      <w:szCs w:val="20"/>
      <w:lang w:eastAsia="pl-PL"/>
    </w:rPr>
  </w:style>
  <w:style w:type="character" w:customStyle="1" w:styleId="TekstkomentarzaZnak1">
    <w:name w:val="Tekst komentarza Znak1"/>
    <w:link w:val="Tekstkomentarza"/>
    <w:uiPriority w:val="99"/>
    <w:semiHidden/>
    <w:rsid w:val="009030D8"/>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9030D8"/>
    <w:pPr>
      <w:spacing w:before="120" w:after="0" w:line="240" w:lineRule="auto"/>
    </w:pPr>
    <w:rPr>
      <w:rFonts w:ascii="Times New Roman" w:eastAsia="Times New Roman" w:hAnsi="Times New Roman" w:cs="Times New Roman"/>
      <w:sz w:val="24"/>
      <w:szCs w:val="20"/>
      <w:lang w:eastAsia="pl-PL"/>
    </w:rPr>
  </w:style>
  <w:style w:type="paragraph" w:customStyle="1" w:styleId="xl89">
    <w:name w:val="xl89"/>
    <w:basedOn w:val="Normalny"/>
    <w:rsid w:val="009030D8"/>
    <w:pPr>
      <w:spacing w:before="100" w:beforeAutospacing="1" w:after="100" w:afterAutospacing="1" w:line="240" w:lineRule="auto"/>
      <w:jc w:val="center"/>
      <w:textAlignment w:val="center"/>
    </w:pPr>
    <w:rPr>
      <w:rFonts w:ascii="Arial" w:eastAsia="Arial Unicode MS" w:hAnsi="Arial" w:cs="Arial"/>
      <w:b/>
      <w:bCs/>
      <w:lang w:eastAsia="pl-PL"/>
    </w:rPr>
  </w:style>
  <w:style w:type="character" w:customStyle="1" w:styleId="TekstpodstawowyZnak1">
    <w:name w:val="Tekst podstawowy Znak1"/>
    <w:rsid w:val="009030D8"/>
    <w:rPr>
      <w:sz w:val="24"/>
      <w:szCs w:val="24"/>
      <w:lang w:val="pl-PL" w:eastAsia="pl-PL" w:bidi="ar-SA"/>
    </w:rPr>
  </w:style>
  <w:style w:type="paragraph" w:customStyle="1" w:styleId="NormalBold">
    <w:name w:val="NormalBold"/>
    <w:basedOn w:val="Normalny"/>
    <w:link w:val="NormalBoldChar"/>
    <w:rsid w:val="009030D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030D8"/>
    <w:rPr>
      <w:rFonts w:ascii="Times New Roman" w:eastAsia="Times New Roman" w:hAnsi="Times New Roman" w:cs="Times New Roman"/>
      <w:b/>
      <w:sz w:val="24"/>
      <w:lang w:eastAsia="en-GB"/>
    </w:rPr>
  </w:style>
  <w:style w:type="character" w:customStyle="1" w:styleId="DeltaViewInsertion">
    <w:name w:val="DeltaView Insertion"/>
    <w:rsid w:val="009030D8"/>
    <w:rPr>
      <w:b/>
      <w:i/>
      <w:spacing w:val="0"/>
    </w:rPr>
  </w:style>
  <w:style w:type="paragraph" w:customStyle="1" w:styleId="Text1">
    <w:name w:val="Text 1"/>
    <w:basedOn w:val="Normalny"/>
    <w:rsid w:val="009030D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030D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030D8"/>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030D8"/>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030D8"/>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030D8"/>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030D8"/>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030D8"/>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030D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0"/>
    <w:rsid w:val="009030D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030D8"/>
    <w:pPr>
      <w:spacing w:before="120" w:after="120" w:line="240" w:lineRule="auto"/>
      <w:jc w:val="center"/>
    </w:pPr>
    <w:rPr>
      <w:rFonts w:ascii="Times New Roman" w:eastAsia="Calibri" w:hAnsi="Times New Roman" w:cs="Times New Roman"/>
      <w:b/>
      <w:sz w:val="24"/>
      <w:u w:val="single"/>
      <w:lang w:eastAsia="en-GB"/>
    </w:rPr>
  </w:style>
  <w:style w:type="paragraph" w:styleId="NormalnyWeb">
    <w:name w:val="Normal (Web)"/>
    <w:basedOn w:val="Normalny"/>
    <w:uiPriority w:val="99"/>
    <w:unhideWhenUsed/>
    <w:rsid w:val="009030D8"/>
    <w:pPr>
      <w:spacing w:after="0"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zwykły tekst Znak,List Paragraph1 Znak,BulletC Znak,normalny tekst Znak,Obiekt Znak,Data wydania Znak,CW_Lista Znak,Nagłowek 3 Znak,Numerowanie Znak,L1 Znak,Preambuła Znak,Akapit z listą BS Znak,Kolorowa lista — akcent 11 Znak"/>
    <w:link w:val="Akapitzlist"/>
    <w:uiPriority w:val="34"/>
    <w:qFormat/>
    <w:locked/>
    <w:rsid w:val="009030D8"/>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9030D8"/>
    <w:pPr>
      <w:autoSpaceDE w:val="0"/>
      <w:autoSpaceDN w:val="0"/>
      <w:spacing w:before="90" w:after="0" w:line="380" w:lineRule="atLeast"/>
      <w:jc w:val="both"/>
    </w:pPr>
    <w:rPr>
      <w:rFonts w:ascii="Courier New" w:eastAsia="Times New Roman" w:hAnsi="Courier New" w:cs="Courier New"/>
      <w:w w:val="89"/>
      <w:sz w:val="25"/>
      <w:szCs w:val="20"/>
      <w:lang w:eastAsia="pl-PL"/>
    </w:rPr>
  </w:style>
  <w:style w:type="character" w:customStyle="1" w:styleId="ZwykytekstZnak">
    <w:name w:val="Zwykły tekst Znak"/>
    <w:basedOn w:val="Domylnaczcionkaakapitu"/>
    <w:link w:val="Zwykytekst"/>
    <w:uiPriority w:val="99"/>
    <w:rsid w:val="009030D8"/>
    <w:rPr>
      <w:rFonts w:ascii="Courier New" w:eastAsia="Times New Roman" w:hAnsi="Courier New" w:cs="Courier New"/>
      <w:w w:val="89"/>
      <w:sz w:val="25"/>
      <w:szCs w:val="20"/>
      <w:lang w:eastAsia="pl-PL"/>
    </w:rPr>
  </w:style>
  <w:style w:type="paragraph" w:customStyle="1" w:styleId="Default">
    <w:name w:val="Default"/>
    <w:qFormat/>
    <w:rsid w:val="009030D8"/>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table" w:styleId="rednialista2akcent1">
    <w:name w:val="Medium List 2 Accent 1"/>
    <w:basedOn w:val="Standardowy"/>
    <w:uiPriority w:val="66"/>
    <w:rsid w:val="009030D8"/>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9030D8"/>
  </w:style>
  <w:style w:type="paragraph" w:customStyle="1" w:styleId="Akapitzlist1">
    <w:name w:val="Akapit z listą1"/>
    <w:basedOn w:val="Normalny"/>
    <w:qFormat/>
    <w:rsid w:val="009030D8"/>
    <w:pPr>
      <w:ind w:left="720"/>
    </w:pPr>
    <w:rPr>
      <w:rFonts w:ascii="Calibri" w:eastAsia="Times New Roman" w:hAnsi="Calibri" w:cs="Times New Roman"/>
    </w:rPr>
  </w:style>
  <w:style w:type="numbering" w:customStyle="1" w:styleId="Bezlisty11">
    <w:name w:val="Bez listy11"/>
    <w:next w:val="Bezlisty"/>
    <w:uiPriority w:val="99"/>
    <w:semiHidden/>
    <w:unhideWhenUsed/>
    <w:rsid w:val="009030D8"/>
  </w:style>
  <w:style w:type="character" w:styleId="Numerstrony">
    <w:name w:val="page number"/>
    <w:basedOn w:val="Domylnaczcionkaakapitu"/>
    <w:rsid w:val="009030D8"/>
  </w:style>
  <w:style w:type="paragraph" w:styleId="Mapadokumentu">
    <w:name w:val="Document Map"/>
    <w:basedOn w:val="Normalny"/>
    <w:link w:val="MapadokumentuZnak"/>
    <w:semiHidden/>
    <w:rsid w:val="009030D8"/>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9030D8"/>
    <w:rPr>
      <w:rFonts w:ascii="Tahoma" w:eastAsia="Times New Roman" w:hAnsi="Tahoma" w:cs="Times New Roman"/>
      <w:sz w:val="20"/>
      <w:szCs w:val="20"/>
      <w:shd w:val="clear" w:color="auto" w:fill="000080"/>
      <w:lang w:eastAsia="pl-PL"/>
    </w:rPr>
  </w:style>
  <w:style w:type="paragraph" w:customStyle="1" w:styleId="MZA">
    <w:name w:val="MZA"/>
    <w:basedOn w:val="Normalny"/>
    <w:rsid w:val="009030D8"/>
    <w:pPr>
      <w:spacing w:after="0" w:line="240" w:lineRule="auto"/>
    </w:pPr>
    <w:rPr>
      <w:rFonts w:ascii="Times New Roman" w:eastAsia="Times New Roman" w:hAnsi="Times New Roman" w:cs="Times New Roman"/>
      <w:sz w:val="26"/>
      <w:szCs w:val="20"/>
      <w:lang w:eastAsia="pl-PL"/>
    </w:rPr>
  </w:style>
  <w:style w:type="character" w:styleId="UyteHipercze">
    <w:name w:val="FollowedHyperlink"/>
    <w:uiPriority w:val="99"/>
    <w:semiHidden/>
    <w:rsid w:val="009030D8"/>
    <w:rPr>
      <w:color w:val="800080"/>
      <w:u w:val="single"/>
    </w:rPr>
  </w:style>
  <w:style w:type="character" w:styleId="Pogrubienie">
    <w:name w:val="Strong"/>
    <w:qFormat/>
    <w:rsid w:val="009030D8"/>
    <w:rPr>
      <w:b/>
      <w:bCs/>
    </w:rPr>
  </w:style>
  <w:style w:type="table" w:customStyle="1" w:styleId="Tabela-Siatka1">
    <w:name w:val="Tabela - Siatka1"/>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030D8"/>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59"/>
    <w:rsid w:val="009030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30D8"/>
  </w:style>
  <w:style w:type="table" w:customStyle="1" w:styleId="Tabela-Siatka2">
    <w:name w:val="Tabela - Siatka2"/>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9030D8"/>
    <w:pPr>
      <w:spacing w:after="0" w:line="240" w:lineRule="auto"/>
      <w:ind w:left="240"/>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9030D8"/>
    <w:pPr>
      <w:spacing w:after="10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9030D8"/>
    <w:pPr>
      <w:spacing w:after="100"/>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9030D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9030D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9030D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9030D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9030D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9030D8"/>
    <w:pPr>
      <w:spacing w:after="100"/>
      <w:ind w:left="1760"/>
    </w:pPr>
    <w:rPr>
      <w:rFonts w:ascii="Calibri" w:eastAsia="Times New Roman" w:hAnsi="Calibri" w:cs="Times New Roman"/>
      <w:lang w:eastAsia="pl-PL"/>
    </w:rPr>
  </w:style>
  <w:style w:type="table" w:customStyle="1" w:styleId="Tabela-MZA">
    <w:name w:val="Tabela-MZA"/>
    <w:basedOn w:val="Tabela-Siatka"/>
    <w:uiPriority w:val="99"/>
    <w:rsid w:val="009030D8"/>
    <w:rPr>
      <w:rFonts w:ascii="Book Antiqua" w:eastAsia="Calibri" w:hAnsi="Book Antiqua"/>
    </w:rPr>
    <w:tblPr/>
    <w:tblStylePr w:type="firstRow">
      <w:pPr>
        <w:jc w:val="center"/>
      </w:pPr>
      <w:rPr>
        <w:rFonts w:ascii="Fira Sans" w:hAnsi="Fira San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9030D8"/>
    <w:rPr>
      <w:rFonts w:ascii="Courier New" w:eastAsia="Calibri" w:hAnsi="Courier New" w:cs="Courier New"/>
      <w:noProof/>
      <w:color w:val="008000"/>
      <w:sz w:val="20"/>
      <w:szCs w:val="20"/>
      <w:lang w:eastAsia="en-US"/>
    </w:rPr>
  </w:style>
  <w:style w:type="character" w:customStyle="1" w:styleId="SQLtekst">
    <w:name w:val="SQL tekst"/>
    <w:uiPriority w:val="1"/>
    <w:qFormat/>
    <w:rsid w:val="009030D8"/>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9030D8"/>
    <w:rPr>
      <w:rFonts w:ascii="Courier New" w:eastAsia="Calibri" w:hAnsi="Courier New" w:cs="Courier New"/>
      <w:noProof/>
      <w:color w:val="0000FF"/>
      <w:sz w:val="20"/>
      <w:szCs w:val="20"/>
      <w:lang w:eastAsia="en-US"/>
    </w:rPr>
  </w:style>
  <w:style w:type="paragraph" w:customStyle="1" w:styleId="SQL">
    <w:name w:val="SQL"/>
    <w:basedOn w:val="Normalny"/>
    <w:qFormat/>
    <w:rsid w:val="009030D8"/>
    <w:pPr>
      <w:keepNext/>
      <w:keepLines/>
      <w:autoSpaceDE w:val="0"/>
      <w:autoSpaceDN w:val="0"/>
      <w:adjustRightInd w:val="0"/>
      <w:spacing w:after="0" w:line="240" w:lineRule="auto"/>
      <w:jc w:val="both"/>
    </w:pPr>
    <w:rPr>
      <w:rFonts w:ascii="Courier New" w:eastAsia="Calibri" w:hAnsi="Courier New" w:cs="Courier New"/>
      <w:noProof/>
      <w:sz w:val="24"/>
      <w:szCs w:val="20"/>
    </w:rPr>
  </w:style>
  <w:style w:type="character" w:customStyle="1" w:styleId="SQLfunkcja">
    <w:name w:val="SQL funkcja"/>
    <w:uiPriority w:val="1"/>
    <w:qFormat/>
    <w:rsid w:val="009030D8"/>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Fira Sans" w:hAnsi="Fira Sans"/>
        <w:b/>
        <w:i/>
        <w:color w:val="FFFFFF"/>
        <w:sz w:val="24"/>
      </w:rPr>
      <w:tblPr/>
      <w:tcPr>
        <w:shd w:val="clear" w:color="auto" w:fill="C00000"/>
      </w:tcPr>
    </w:tblStylePr>
    <w:tblStylePr w:type="firstCol">
      <w:rPr>
        <w:rFonts w:ascii="Fira Sans" w:hAnsi="Fira Sans"/>
        <w:sz w:val="20"/>
      </w:rPr>
      <w:tblPr/>
      <w:tcPr>
        <w:shd w:val="clear" w:color="auto" w:fill="FFFFCC"/>
      </w:tcPr>
    </w:tblStylePr>
  </w:style>
  <w:style w:type="table" w:customStyle="1" w:styleId="MZA-Tabela0">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9030D8"/>
    <w:pPr>
      <w:spacing w:after="0" w:line="240" w:lineRule="auto"/>
    </w:pPr>
    <w:rPr>
      <w:rFonts w:ascii="Book Antiqua" w:eastAsia="Times New Roman" w:hAnsi="Book Antiqu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styleId="Odwoanieintensywne">
    <w:name w:val="Intense Reference"/>
    <w:uiPriority w:val="32"/>
    <w:qFormat/>
    <w:rsid w:val="009030D8"/>
    <w:rPr>
      <w:b/>
      <w:bCs/>
      <w:smallCaps/>
      <w:color w:val="C0504D"/>
      <w:spacing w:val="5"/>
      <w:u w:val="single"/>
    </w:rPr>
  </w:style>
  <w:style w:type="character" w:customStyle="1" w:styleId="Domylnaczcionkaakapitu1">
    <w:name w:val="Domyślna czcionka akapitu1"/>
    <w:rsid w:val="009030D8"/>
  </w:style>
  <w:style w:type="paragraph" w:customStyle="1" w:styleId="Nagwek1">
    <w:name w:val="Nagłówek1"/>
    <w:basedOn w:val="Normalny"/>
    <w:rsid w:val="009030D8"/>
    <w:pPr>
      <w:numPr>
        <w:numId w:val="21"/>
      </w:numPr>
      <w:tabs>
        <w:tab w:val="center" w:pos="4536"/>
        <w:tab w:val="right" w:pos="9072"/>
      </w:tabs>
      <w:suppressAutoHyphens/>
      <w:spacing w:before="120" w:after="120" w:line="240" w:lineRule="auto"/>
      <w:jc w:val="both"/>
    </w:pPr>
    <w:rPr>
      <w:rFonts w:ascii="Courier" w:eastAsia="Times New Roman" w:hAnsi="Courier" w:cs="Times New Roman"/>
      <w:kern w:val="1"/>
      <w:sz w:val="36"/>
      <w:szCs w:val="36"/>
      <w:lang w:eastAsia="ar-SA"/>
    </w:rPr>
  </w:style>
  <w:style w:type="paragraph" w:customStyle="1" w:styleId="MZAHEADER2">
    <w:name w:val="MZA_HEADER2"/>
    <w:basedOn w:val="Nagwek2"/>
    <w:next w:val="Normalny"/>
    <w:qFormat/>
    <w:rsid w:val="009030D8"/>
    <w:pPr>
      <w:keepLines/>
      <w:numPr>
        <w:ilvl w:val="1"/>
        <w:numId w:val="21"/>
      </w:numPr>
      <w:tabs>
        <w:tab w:val="left" w:pos="851"/>
        <w:tab w:val="left" w:pos="1710"/>
      </w:tabs>
      <w:suppressAutoHyphens/>
      <w:spacing w:before="600" w:after="240"/>
      <w:jc w:val="both"/>
    </w:pPr>
    <w:rPr>
      <w:rFonts w:ascii="Courier New" w:hAnsi="Courier New"/>
      <w:bCs w:val="0"/>
      <w:i/>
      <w:kern w:val="1"/>
      <w:sz w:val="32"/>
      <w:szCs w:val="28"/>
      <w:lang w:eastAsia="ar-SA"/>
    </w:rPr>
  </w:style>
  <w:style w:type="paragraph" w:customStyle="1" w:styleId="MZAHEADER3">
    <w:name w:val="MZA_HEADER3"/>
    <w:basedOn w:val="Nagwek3"/>
    <w:next w:val="Normalny"/>
    <w:qFormat/>
    <w:rsid w:val="009030D8"/>
    <w:pPr>
      <w:keepLines/>
      <w:numPr>
        <w:ilvl w:val="2"/>
        <w:numId w:val="21"/>
      </w:numPr>
      <w:pBdr>
        <w:top w:val="none" w:sz="0" w:space="0" w:color="auto"/>
        <w:left w:val="none" w:sz="0" w:space="0" w:color="auto"/>
        <w:bottom w:val="none" w:sz="0" w:space="0" w:color="auto"/>
        <w:right w:val="none" w:sz="0" w:space="0" w:color="auto"/>
      </w:pBdr>
      <w:shd w:val="clear" w:color="auto" w:fill="auto"/>
      <w:tabs>
        <w:tab w:val="clear" w:pos="720"/>
        <w:tab w:val="left" w:pos="1854"/>
      </w:tabs>
      <w:suppressAutoHyphens/>
      <w:spacing w:before="480" w:after="240"/>
      <w:ind w:left="1434"/>
      <w:jc w:val="both"/>
    </w:pPr>
    <w:rPr>
      <w:rFonts w:ascii="Calibri" w:hAnsi="Calibri"/>
      <w:b w:val="0"/>
      <w:i w:val="0"/>
      <w:kern w:val="1"/>
      <w:lang w:eastAsia="ar-SA"/>
    </w:rPr>
  </w:style>
  <w:style w:type="character" w:styleId="Tekstzastpczy">
    <w:name w:val="Placeholder Text"/>
    <w:uiPriority w:val="99"/>
    <w:semiHidden/>
    <w:rsid w:val="009030D8"/>
    <w:rPr>
      <w:color w:val="808080"/>
    </w:rPr>
  </w:style>
  <w:style w:type="character" w:customStyle="1" w:styleId="SourceText">
    <w:name w:val="Source Text"/>
    <w:qFormat/>
    <w:rsid w:val="009030D8"/>
    <w:rPr>
      <w:rFonts w:ascii="Liberation Mono" w:eastAsia="Liberation Mono" w:hAnsi="Liberation Mono" w:cs="Liberation Mono"/>
    </w:rPr>
  </w:style>
  <w:style w:type="character" w:customStyle="1" w:styleId="Nierozpoznanawzmianka1">
    <w:name w:val="Nierozpoznana wzmianka1"/>
    <w:basedOn w:val="Domylnaczcionkaakapitu"/>
    <w:uiPriority w:val="99"/>
    <w:semiHidden/>
    <w:unhideWhenUsed/>
    <w:rsid w:val="009030D8"/>
    <w:rPr>
      <w:color w:val="605E5C"/>
      <w:shd w:val="clear" w:color="auto" w:fill="E1DFDD"/>
    </w:rPr>
  </w:style>
  <w:style w:type="numbering" w:customStyle="1" w:styleId="Bezlisty3">
    <w:name w:val="Bez listy3"/>
    <w:next w:val="Bezlisty"/>
    <w:uiPriority w:val="99"/>
    <w:semiHidden/>
    <w:unhideWhenUsed/>
    <w:rsid w:val="00877A35"/>
  </w:style>
  <w:style w:type="numbering" w:customStyle="1" w:styleId="Bezlisty12">
    <w:name w:val="Bez listy12"/>
    <w:next w:val="Bezlisty"/>
    <w:uiPriority w:val="99"/>
    <w:semiHidden/>
    <w:unhideWhenUsed/>
    <w:rsid w:val="00877A35"/>
  </w:style>
  <w:style w:type="numbering" w:customStyle="1" w:styleId="Bezlisty21">
    <w:name w:val="Bez listy21"/>
    <w:next w:val="Bezlisty"/>
    <w:uiPriority w:val="99"/>
    <w:semiHidden/>
    <w:unhideWhenUsed/>
    <w:rsid w:val="00877A35"/>
  </w:style>
  <w:style w:type="character" w:customStyle="1" w:styleId="normaltextrun">
    <w:name w:val="normaltextrun"/>
    <w:basedOn w:val="Domylnaczcionkaakapitu"/>
    <w:rsid w:val="00AA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0391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23E07FBBBA4A428C9DD7FC03EDE5A4" ma:contentTypeVersion="4" ma:contentTypeDescription="Utwórz nowy dokument." ma:contentTypeScope="" ma:versionID="bfb3f802a80243758acd3019995d1ca5">
  <xsd:schema xmlns:xsd="http://www.w3.org/2001/XMLSchema" xmlns:xs="http://www.w3.org/2001/XMLSchema" xmlns:p="http://schemas.microsoft.com/office/2006/metadata/properties" xmlns:ns2="9a9b9141-c08e-432b-aeb4-c597b51c318e" targetNamespace="http://schemas.microsoft.com/office/2006/metadata/properties" ma:root="true" ma:fieldsID="35712af9507fec1ef1897cc31bda8d51" ns2:_="">
    <xsd:import namespace="9a9b9141-c08e-432b-aeb4-c597b51c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9141-c08e-432b-aeb4-c597b51c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D2838-CA76-4EBF-93FA-5354BFEC7BEB}">
  <ds:schemaRefs>
    <ds:schemaRef ds:uri="http://schemas.microsoft.com/sharepoint/v3/contenttype/forms"/>
  </ds:schemaRefs>
</ds:datastoreItem>
</file>

<file path=customXml/itemProps2.xml><?xml version="1.0" encoding="utf-8"?>
<ds:datastoreItem xmlns:ds="http://schemas.openxmlformats.org/officeDocument/2006/customXml" ds:itemID="{195DF0F2-6A5F-4E1F-B4BF-0598ACEF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9141-c08e-432b-aeb4-c597b51c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50BB1-97D9-4803-A6EC-5946AF3C22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D9E27-FA12-4B4F-A276-9FFE723A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14397</Words>
  <Characters>86382</Characters>
  <Application>Microsoft Office Word</Application>
  <DocSecurity>8</DocSecurity>
  <Lines>719</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Koscielny</dc:creator>
  <cp:keywords/>
  <cp:lastModifiedBy>Marcel Krzeslak</cp:lastModifiedBy>
  <cp:revision>51</cp:revision>
  <dcterms:created xsi:type="dcterms:W3CDTF">2025-01-26T16:58:00Z</dcterms:created>
  <dcterms:modified xsi:type="dcterms:W3CDTF">2025-02-19T10:31:00Z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111ddc-201b-48ec-9d88-f7ed82f0a311_Enabled">
    <vt:lpwstr>true</vt:lpwstr>
  </property>
  <property fmtid="{D5CDD505-2E9C-101B-9397-08002B2CF9AE}" pid="3" name="MSIP_Label_83111ddc-201b-48ec-9d88-f7ed82f0a311_SetDate">
    <vt:lpwstr>2024-09-05T11:48:46Z</vt:lpwstr>
  </property>
  <property fmtid="{D5CDD505-2E9C-101B-9397-08002B2CF9AE}" pid="4" name="MSIP_Label_83111ddc-201b-48ec-9d88-f7ed82f0a311_Method">
    <vt:lpwstr>Standard</vt:lpwstr>
  </property>
  <property fmtid="{D5CDD505-2E9C-101B-9397-08002B2CF9AE}" pid="5" name="MSIP_Label_83111ddc-201b-48ec-9d88-f7ed82f0a311_Name">
    <vt:lpwstr>defa4170-0d19-0005-0004-bc88714345d2</vt:lpwstr>
  </property>
  <property fmtid="{D5CDD505-2E9C-101B-9397-08002B2CF9AE}" pid="6" name="MSIP_Label_83111ddc-201b-48ec-9d88-f7ed82f0a311_SiteId">
    <vt:lpwstr>5850e765-137a-4abc-b88a-f449c9b5bd9f</vt:lpwstr>
  </property>
  <property fmtid="{D5CDD505-2E9C-101B-9397-08002B2CF9AE}" pid="7" name="MSIP_Label_83111ddc-201b-48ec-9d88-f7ed82f0a311_ActionId">
    <vt:lpwstr>66b58448-6b36-4b9f-b5ae-671c5671156a</vt:lpwstr>
  </property>
  <property fmtid="{D5CDD505-2E9C-101B-9397-08002B2CF9AE}" pid="8" name="MSIP_Label_83111ddc-201b-48ec-9d88-f7ed82f0a311_ContentBits">
    <vt:lpwstr>0</vt:lpwstr>
  </property>
  <property fmtid="{D5CDD505-2E9C-101B-9397-08002B2CF9AE}" pid="9" name="ContentTypeId">
    <vt:lpwstr>0x0101003E23E07FBBBA4A428C9DD7FC03EDE5A4</vt:lpwstr>
  </property>
  <property fmtid="{D5CDD505-2E9C-101B-9397-08002B2CF9AE}" pid="10" name="Order">
    <vt:r8>65100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