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63ED4" w14:textId="77777777" w:rsidR="009030D8" w:rsidRPr="00DB7B25" w:rsidRDefault="009030D8" w:rsidP="009030D8">
      <w:pPr>
        <w:spacing w:after="0" w:line="240" w:lineRule="auto"/>
        <w:rPr>
          <w:rFonts w:ascii="Cambria" w:eastAsia="Times New Roman" w:hAnsi="Cambria" w:cs="Times New Roman"/>
          <w:sz w:val="16"/>
          <w:szCs w:val="20"/>
          <w:lang w:eastAsia="pl-PL"/>
        </w:rPr>
      </w:pPr>
      <w:permStart w:id="371154083" w:edGrp="everyone"/>
      <w:permEnd w:id="371154083"/>
    </w:p>
    <w:p w14:paraId="1D350C35" w14:textId="30129817" w:rsidR="009030D8" w:rsidRPr="00744967"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744967">
        <w:rPr>
          <w:rFonts w:ascii="Cambria" w:eastAsia="Times New Roman" w:hAnsi="Cambria" w:cs="Times New Roman"/>
          <w:b/>
          <w:sz w:val="24"/>
          <w:szCs w:val="24"/>
          <w:u w:val="single"/>
          <w:lang w:eastAsia="pl-PL"/>
        </w:rPr>
        <w:t xml:space="preserve">SZCZEGÓŁOWE </w:t>
      </w:r>
      <w:r w:rsidR="000A435B" w:rsidRPr="00744967">
        <w:rPr>
          <w:rFonts w:ascii="Cambria" w:eastAsia="Times New Roman" w:hAnsi="Cambria" w:cs="Times New Roman"/>
          <w:b/>
          <w:sz w:val="24"/>
          <w:szCs w:val="24"/>
          <w:u w:val="single"/>
          <w:lang w:eastAsia="pl-PL"/>
        </w:rPr>
        <w:t>WYMAGANIA DOTYCZĄCE PRZEDMIOTU ZAMÓWIENIA</w:t>
      </w:r>
    </w:p>
    <w:p w14:paraId="172201C8" w14:textId="280EF09F" w:rsidR="009030D8" w:rsidRPr="00744967" w:rsidRDefault="009030D8" w:rsidP="352B275F">
      <w:pPr>
        <w:spacing w:after="0" w:line="240" w:lineRule="auto"/>
        <w:jc w:val="center"/>
        <w:outlineLvl w:val="0"/>
        <w:rPr>
          <w:rFonts w:ascii="Cambria" w:eastAsia="Times New Roman" w:hAnsi="Cambria" w:cs="Times New Roman"/>
          <w:b/>
          <w:bCs/>
          <w:sz w:val="24"/>
          <w:szCs w:val="24"/>
          <w:u w:val="single"/>
          <w:lang w:eastAsia="pl-PL"/>
        </w:rPr>
      </w:pPr>
      <w:r w:rsidRPr="00744967">
        <w:rPr>
          <w:rFonts w:ascii="Cambria" w:eastAsia="Times New Roman" w:hAnsi="Cambria" w:cs="Times New Roman"/>
          <w:b/>
          <w:bCs/>
          <w:sz w:val="24"/>
          <w:szCs w:val="24"/>
          <w:u w:val="single"/>
          <w:lang w:eastAsia="pl-PL"/>
        </w:rPr>
        <w:t xml:space="preserve">Dotyczy </w:t>
      </w:r>
      <w:r w:rsidR="005616FF">
        <w:rPr>
          <w:rFonts w:ascii="Cambria" w:eastAsia="Times New Roman" w:hAnsi="Cambria" w:cs="Times New Roman"/>
          <w:b/>
          <w:bCs/>
          <w:color w:val="FF0000"/>
          <w:sz w:val="24"/>
          <w:szCs w:val="24"/>
          <w:u w:val="single"/>
          <w:lang w:eastAsia="pl-PL"/>
        </w:rPr>
        <w:t>1</w:t>
      </w:r>
      <w:r w:rsidRPr="00744967">
        <w:rPr>
          <w:rFonts w:ascii="Cambria" w:eastAsia="Times New Roman" w:hAnsi="Cambria" w:cs="Times New Roman"/>
          <w:b/>
          <w:bCs/>
          <w:sz w:val="24"/>
          <w:szCs w:val="24"/>
          <w:u w:val="single"/>
          <w:lang w:eastAsia="pl-PL"/>
        </w:rPr>
        <w:t xml:space="preserve"> </w:t>
      </w:r>
      <w:r w:rsidRPr="005616FF">
        <w:rPr>
          <w:rFonts w:ascii="Cambria" w:eastAsia="Times New Roman" w:hAnsi="Cambria" w:cs="Times New Roman"/>
          <w:b/>
          <w:bCs/>
          <w:color w:val="FF0000"/>
          <w:sz w:val="24"/>
          <w:szCs w:val="24"/>
          <w:u w:val="single"/>
          <w:lang w:eastAsia="pl-PL"/>
        </w:rPr>
        <w:t>sztuk</w:t>
      </w:r>
      <w:r w:rsidR="005616FF" w:rsidRPr="005616FF">
        <w:rPr>
          <w:rFonts w:ascii="Cambria" w:eastAsia="Times New Roman" w:hAnsi="Cambria" w:cs="Times New Roman"/>
          <w:b/>
          <w:bCs/>
          <w:color w:val="FF0000"/>
          <w:sz w:val="24"/>
          <w:szCs w:val="24"/>
          <w:u w:val="single"/>
          <w:lang w:eastAsia="pl-PL"/>
        </w:rPr>
        <w:t>i</w:t>
      </w:r>
      <w:r w:rsidRPr="005616FF">
        <w:rPr>
          <w:rFonts w:ascii="Cambria" w:eastAsia="Times New Roman" w:hAnsi="Cambria" w:cs="Times New Roman"/>
          <w:b/>
          <w:bCs/>
          <w:color w:val="FF0000"/>
          <w:sz w:val="24"/>
          <w:szCs w:val="24"/>
          <w:u w:val="single"/>
          <w:lang w:eastAsia="pl-PL"/>
        </w:rPr>
        <w:t xml:space="preserve"> elektryczn</w:t>
      </w:r>
      <w:r w:rsidR="005616FF" w:rsidRPr="005616FF">
        <w:rPr>
          <w:rFonts w:ascii="Cambria" w:eastAsia="Times New Roman" w:hAnsi="Cambria" w:cs="Times New Roman"/>
          <w:b/>
          <w:bCs/>
          <w:color w:val="FF0000"/>
          <w:sz w:val="24"/>
          <w:szCs w:val="24"/>
          <w:u w:val="single"/>
          <w:lang w:eastAsia="pl-PL"/>
        </w:rPr>
        <w:t>ego</w:t>
      </w:r>
      <w:r w:rsidRPr="005616FF">
        <w:rPr>
          <w:rFonts w:ascii="Cambria" w:eastAsia="Times New Roman" w:hAnsi="Cambria" w:cs="Times New Roman"/>
          <w:b/>
          <w:bCs/>
          <w:color w:val="FF0000"/>
          <w:sz w:val="24"/>
          <w:szCs w:val="24"/>
          <w:u w:val="single"/>
          <w:lang w:eastAsia="pl-PL"/>
        </w:rPr>
        <w:t xml:space="preserve"> autobus</w:t>
      </w:r>
      <w:r w:rsidR="005616FF" w:rsidRPr="005616FF">
        <w:rPr>
          <w:rFonts w:ascii="Cambria" w:eastAsia="Times New Roman" w:hAnsi="Cambria" w:cs="Times New Roman"/>
          <w:b/>
          <w:bCs/>
          <w:color w:val="FF0000"/>
          <w:sz w:val="24"/>
          <w:szCs w:val="24"/>
          <w:u w:val="single"/>
          <w:lang w:eastAsia="pl-PL"/>
        </w:rPr>
        <w:t>u</w:t>
      </w:r>
      <w:r w:rsidRPr="005616FF">
        <w:rPr>
          <w:rFonts w:ascii="Cambria" w:eastAsia="Times New Roman" w:hAnsi="Cambria" w:cs="Times New Roman"/>
          <w:b/>
          <w:bCs/>
          <w:color w:val="FF0000"/>
          <w:sz w:val="24"/>
          <w:szCs w:val="24"/>
          <w:u w:val="single"/>
          <w:lang w:eastAsia="pl-PL"/>
        </w:rPr>
        <w:t xml:space="preserve"> klasy MAXI</w:t>
      </w:r>
      <w:r w:rsidR="79EBF9C8" w:rsidRPr="005616FF">
        <w:rPr>
          <w:rFonts w:ascii="Cambria" w:eastAsia="Times New Roman" w:hAnsi="Cambria" w:cs="Times New Roman"/>
          <w:b/>
          <w:bCs/>
          <w:color w:val="FF0000"/>
          <w:sz w:val="24"/>
          <w:szCs w:val="24"/>
          <w:u w:val="single"/>
          <w:lang w:eastAsia="pl-PL"/>
        </w:rPr>
        <w:t xml:space="preserve"> </w:t>
      </w:r>
      <w:r w:rsidR="79EBF9C8" w:rsidRPr="00744967">
        <w:rPr>
          <w:rFonts w:ascii="Cambria" w:eastAsia="Times New Roman" w:hAnsi="Cambria" w:cs="Times New Roman"/>
          <w:b/>
          <w:bCs/>
          <w:sz w:val="24"/>
          <w:szCs w:val="24"/>
          <w:u w:val="single"/>
          <w:lang w:eastAsia="pl-PL"/>
        </w:rPr>
        <w:t>z systemem autonomii</w:t>
      </w:r>
    </w:p>
    <w:p w14:paraId="47D5A54A" w14:textId="77777777" w:rsidR="009147C8" w:rsidRPr="00744967" w:rsidRDefault="009147C8" w:rsidP="352B275F">
      <w:pPr>
        <w:spacing w:after="0" w:line="240" w:lineRule="auto"/>
        <w:jc w:val="center"/>
        <w:outlineLvl w:val="0"/>
        <w:rPr>
          <w:rFonts w:ascii="Cambria" w:eastAsia="Times New Roman" w:hAnsi="Cambria" w:cs="Times New Roman"/>
          <w:b/>
          <w:bCs/>
          <w:sz w:val="24"/>
          <w:szCs w:val="24"/>
          <w:u w:val="single"/>
          <w:lang w:eastAsia="pl-PL"/>
        </w:rPr>
      </w:pPr>
    </w:p>
    <w:p w14:paraId="0EAB15CC" w14:textId="77777777" w:rsidR="009030D8" w:rsidRPr="00744967"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  Przedmiot zamówienia</w:t>
      </w:r>
    </w:p>
    <w:p w14:paraId="546FF92B" w14:textId="6C164C38" w:rsidR="009030D8" w:rsidRPr="00744967" w:rsidRDefault="009030D8" w:rsidP="352B275F">
      <w:pPr>
        <w:spacing w:after="0" w:line="240" w:lineRule="auto"/>
        <w:jc w:val="both"/>
        <w:rPr>
          <w:rFonts w:asciiTheme="majorHAnsi" w:eastAsia="Times New Roman" w:hAnsiTheme="majorHAnsi" w:cs="Times New Roman"/>
          <w:sz w:val="23"/>
          <w:szCs w:val="23"/>
          <w:lang w:eastAsia="pl-PL"/>
        </w:rPr>
      </w:pPr>
      <w:r w:rsidRPr="00744967">
        <w:rPr>
          <w:rFonts w:asciiTheme="majorHAnsi" w:eastAsia="Times New Roman" w:hAnsiTheme="majorHAnsi" w:cs="Times New Roman"/>
          <w:lang w:eastAsia="pl-PL"/>
        </w:rPr>
        <w:t xml:space="preserve">Dostawa </w:t>
      </w:r>
      <w:r w:rsidR="005616FF">
        <w:rPr>
          <w:rFonts w:asciiTheme="majorHAnsi" w:eastAsia="Times New Roman" w:hAnsiTheme="majorHAnsi" w:cs="Times New Roman"/>
          <w:color w:val="FF0000"/>
          <w:lang w:eastAsia="pl-PL"/>
        </w:rPr>
        <w:t>1</w:t>
      </w:r>
      <w:r w:rsidRPr="00744967">
        <w:rPr>
          <w:rFonts w:asciiTheme="majorHAnsi" w:eastAsia="Times New Roman" w:hAnsiTheme="majorHAnsi" w:cs="Times New Roman"/>
          <w:lang w:eastAsia="pl-PL"/>
        </w:rPr>
        <w:t xml:space="preserve"> autobus</w:t>
      </w:r>
      <w:r w:rsidR="005616FF">
        <w:rPr>
          <w:rFonts w:asciiTheme="majorHAnsi" w:eastAsia="Times New Roman" w:hAnsiTheme="majorHAnsi" w:cs="Times New Roman"/>
          <w:color w:val="FF0000"/>
          <w:lang w:eastAsia="pl-PL"/>
        </w:rPr>
        <w:t>u</w:t>
      </w:r>
      <w:r w:rsidRPr="00744967">
        <w:rPr>
          <w:rFonts w:asciiTheme="majorHAnsi" w:eastAsia="Times New Roman" w:hAnsiTheme="majorHAnsi" w:cs="Times New Roman"/>
          <w:lang w:eastAsia="pl-PL"/>
        </w:rPr>
        <w:t xml:space="preserve"> elektryczn</w:t>
      </w:r>
      <w:r w:rsidR="005616FF" w:rsidRPr="005616FF">
        <w:rPr>
          <w:rFonts w:asciiTheme="majorHAnsi" w:eastAsia="Times New Roman" w:hAnsiTheme="majorHAnsi" w:cs="Times New Roman"/>
          <w:color w:val="FF0000"/>
          <w:lang w:eastAsia="pl-PL"/>
        </w:rPr>
        <w:t>ego</w:t>
      </w:r>
      <w:r w:rsidRPr="00744967">
        <w:rPr>
          <w:rFonts w:asciiTheme="majorHAnsi" w:eastAsia="Times New Roman" w:hAnsiTheme="majorHAnsi" w:cs="Times New Roman"/>
          <w:lang w:eastAsia="pl-PL"/>
        </w:rPr>
        <w:t xml:space="preserve"> klasy MAXI</w:t>
      </w:r>
      <w:r w:rsidRPr="00744967">
        <w:rPr>
          <w:rFonts w:asciiTheme="majorHAnsi" w:eastAsia="Times New Roman" w:hAnsiTheme="majorHAnsi" w:cs="Times New Roman"/>
          <w:sz w:val="23"/>
          <w:szCs w:val="23"/>
          <w:lang w:eastAsia="pl-PL"/>
        </w:rPr>
        <w:t xml:space="preserve"> </w:t>
      </w:r>
      <w:r w:rsidR="643D18CF" w:rsidRPr="00744967">
        <w:rPr>
          <w:rFonts w:asciiTheme="majorHAnsi" w:eastAsia="Times New Roman" w:hAnsiTheme="majorHAnsi" w:cs="Times New Roman"/>
          <w:sz w:val="23"/>
          <w:szCs w:val="23"/>
          <w:lang w:eastAsia="pl-PL"/>
        </w:rPr>
        <w:t xml:space="preserve">z systemem </w:t>
      </w:r>
      <w:r w:rsidR="00E371C9" w:rsidRPr="00744967">
        <w:rPr>
          <w:rFonts w:asciiTheme="majorHAnsi" w:eastAsia="Times New Roman" w:hAnsiTheme="majorHAnsi" w:cs="Times New Roman"/>
          <w:sz w:val="23"/>
          <w:szCs w:val="23"/>
          <w:lang w:eastAsia="pl-PL"/>
        </w:rPr>
        <w:t>autonomii</w:t>
      </w:r>
      <w:r w:rsidR="643D18CF" w:rsidRPr="00744967">
        <w:rPr>
          <w:rFonts w:asciiTheme="majorHAnsi" w:eastAsia="Times New Roman" w:hAnsiTheme="majorHAnsi" w:cs="Times New Roman"/>
          <w:sz w:val="23"/>
          <w:szCs w:val="23"/>
          <w:lang w:eastAsia="pl-PL"/>
        </w:rPr>
        <w:t xml:space="preserve"> </w:t>
      </w:r>
      <w:r w:rsidRPr="00744967">
        <w:rPr>
          <w:rFonts w:asciiTheme="majorHAnsi" w:eastAsia="Times New Roman" w:hAnsiTheme="majorHAnsi" w:cs="Times New Roman"/>
          <w:sz w:val="23"/>
          <w:szCs w:val="23"/>
          <w:lang w:eastAsia="pl-PL"/>
        </w:rPr>
        <w:t>ładowan</w:t>
      </w:r>
      <w:r w:rsidR="005616FF" w:rsidRPr="005616FF">
        <w:rPr>
          <w:rFonts w:asciiTheme="majorHAnsi" w:eastAsia="Times New Roman" w:hAnsiTheme="majorHAnsi" w:cs="Times New Roman"/>
          <w:color w:val="FF0000"/>
          <w:sz w:val="23"/>
          <w:szCs w:val="23"/>
          <w:lang w:eastAsia="pl-PL"/>
        </w:rPr>
        <w:t>ego</w:t>
      </w:r>
      <w:r w:rsidRPr="00744967">
        <w:rPr>
          <w:rFonts w:asciiTheme="majorHAnsi" w:eastAsia="Times New Roman" w:hAnsiTheme="majorHAnsi" w:cs="Times New Roman"/>
          <w:sz w:val="23"/>
          <w:szCs w:val="23"/>
          <w:lang w:eastAsia="pl-PL"/>
        </w:rPr>
        <w:t xml:space="preserve"> wyłącznie za pomocą gniazda plug-in (dalej jako „High Energy”);</w:t>
      </w:r>
    </w:p>
    <w:p w14:paraId="66B6BA17" w14:textId="77777777" w:rsidR="009030D8" w:rsidRPr="00744967"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II.  Wymagania dotyczące spełniania przepisów</w:t>
      </w:r>
    </w:p>
    <w:p w14:paraId="0B0DEB89" w14:textId="67F4211F" w:rsidR="009030D8" w:rsidRPr="00744967" w:rsidRDefault="009030D8" w:rsidP="009030D8">
      <w:pPr>
        <w:spacing w:before="120" w:after="0" w:line="240" w:lineRule="auto"/>
        <w:jc w:val="both"/>
        <w:rPr>
          <w:rFonts w:ascii="Cambria" w:eastAsia="Times New Roman" w:hAnsi="Cambria" w:cs="Times New Roman"/>
          <w:lang w:eastAsia="pl-PL"/>
        </w:rPr>
      </w:pPr>
      <w:r w:rsidRPr="005616FF">
        <w:rPr>
          <w:rFonts w:ascii="Cambria" w:eastAsia="Times New Roman" w:hAnsi="Cambria" w:cs="Times New Roman"/>
          <w:color w:val="FF0000"/>
          <w:szCs w:val="20"/>
          <w:lang w:eastAsia="pl-PL"/>
        </w:rPr>
        <w:t>Oferowan</w:t>
      </w:r>
      <w:r w:rsidR="005616FF" w:rsidRPr="005616FF">
        <w:rPr>
          <w:rFonts w:ascii="Cambria" w:eastAsia="Times New Roman" w:hAnsi="Cambria" w:cs="Times New Roman"/>
          <w:color w:val="FF0000"/>
          <w:szCs w:val="20"/>
          <w:lang w:eastAsia="pl-PL"/>
        </w:rPr>
        <w:t>y</w:t>
      </w:r>
      <w:r w:rsidRPr="005616FF">
        <w:rPr>
          <w:rFonts w:ascii="Cambria" w:eastAsia="Times New Roman" w:hAnsi="Cambria" w:cs="Times New Roman"/>
          <w:color w:val="FF0000"/>
          <w:szCs w:val="20"/>
          <w:lang w:eastAsia="pl-PL"/>
        </w:rPr>
        <w:t xml:space="preserve"> autobus mus</w:t>
      </w:r>
      <w:r w:rsidR="005616FF" w:rsidRPr="005616FF">
        <w:rPr>
          <w:rFonts w:ascii="Cambria" w:eastAsia="Times New Roman" w:hAnsi="Cambria" w:cs="Times New Roman"/>
          <w:color w:val="FF0000"/>
          <w:szCs w:val="20"/>
          <w:lang w:eastAsia="pl-PL"/>
        </w:rPr>
        <w:t>i</w:t>
      </w:r>
      <w:r w:rsidRPr="005616FF">
        <w:rPr>
          <w:rFonts w:ascii="Cambria" w:eastAsia="Times New Roman" w:hAnsi="Cambria" w:cs="Times New Roman"/>
          <w:color w:val="FF0000"/>
          <w:szCs w:val="20"/>
          <w:lang w:eastAsia="pl-PL"/>
        </w:rPr>
        <w:t xml:space="preserve"> </w:t>
      </w:r>
      <w:r w:rsidRPr="00744967">
        <w:rPr>
          <w:rFonts w:ascii="Cambria" w:eastAsia="Times New Roman" w:hAnsi="Cambria" w:cs="Times New Roman"/>
          <w:szCs w:val="20"/>
          <w:lang w:eastAsia="pl-PL"/>
        </w:rPr>
        <w:t>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744967">
        <w:rPr>
          <w:rFonts w:ascii="Cambria" w:eastAsia="Times New Roman" w:hAnsi="Cambria" w:cs="Times New Roman"/>
          <w:lang w:eastAsia="pl-PL"/>
        </w:rPr>
        <w:t xml:space="preserve">. </w:t>
      </w:r>
    </w:p>
    <w:p w14:paraId="30119ED1" w14:textId="77777777" w:rsidR="009030D8" w:rsidRPr="00744967"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744967"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Y="1"/>
        <w:tblOverlap w:val="never"/>
        <w:tblW w:w="99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046"/>
      </w:tblGrid>
      <w:tr w:rsidR="00DB7B25" w:rsidRPr="00744967" w14:paraId="611DF69F" w14:textId="77777777" w:rsidTr="001C684D">
        <w:trPr>
          <w:tblHeader/>
        </w:trPr>
        <w:tc>
          <w:tcPr>
            <w:tcW w:w="496" w:type="dxa"/>
            <w:vAlign w:val="center"/>
          </w:tcPr>
          <w:p w14:paraId="294F66AC"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lp.</w:t>
            </w:r>
          </w:p>
        </w:tc>
        <w:tc>
          <w:tcPr>
            <w:tcW w:w="7371" w:type="dxa"/>
            <w:vAlign w:val="center"/>
          </w:tcPr>
          <w:p w14:paraId="66229333"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cecha, parametr</w:t>
            </w:r>
          </w:p>
        </w:tc>
        <w:tc>
          <w:tcPr>
            <w:tcW w:w="2046" w:type="dxa"/>
            <w:vAlign w:val="center"/>
          </w:tcPr>
          <w:p w14:paraId="5775E6A4"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wielkość</w:t>
            </w:r>
          </w:p>
        </w:tc>
      </w:tr>
      <w:tr w:rsidR="00DB7B25" w:rsidRPr="00744967" w14:paraId="4E28973E" w14:textId="77777777" w:rsidTr="001C684D">
        <w:tc>
          <w:tcPr>
            <w:tcW w:w="496" w:type="dxa"/>
            <w:vAlign w:val="center"/>
          </w:tcPr>
          <w:p w14:paraId="558B11D2"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744967" w:rsidRDefault="004D7F2A" w:rsidP="00BD4C87">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w:t>
            </w:r>
            <w:r w:rsidR="009030D8" w:rsidRPr="00744967">
              <w:rPr>
                <w:rFonts w:ascii="Cambria" w:eastAsia="Times New Roman" w:hAnsi="Cambria" w:cs="Times New Roman"/>
                <w:szCs w:val="20"/>
                <w:lang w:eastAsia="pl-PL"/>
              </w:rPr>
              <w:t>inimalna liczba miejsc pasażerskich:</w:t>
            </w:r>
          </w:p>
          <w:p w14:paraId="124BAFB7"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siedzących</w:t>
            </w:r>
          </w:p>
          <w:p w14:paraId="7CA0C66F" w14:textId="77777777" w:rsidR="009030D8" w:rsidRPr="00744967" w:rsidRDefault="009030D8"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 tym co najmniej: </w:t>
            </w:r>
          </w:p>
          <w:p w14:paraId="3EE9910D" w14:textId="4BF33B9A" w:rsidR="009030D8" w:rsidRPr="00744967" w:rsidRDefault="009030D8" w:rsidP="00E20FED">
            <w:pPr>
              <w:numPr>
                <w:ilvl w:val="0"/>
                <w:numId w:val="13"/>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744967">
              <w:rPr>
                <w:rFonts w:ascii="Cambria" w:eastAsia="Times New Roman" w:hAnsi="Cambria" w:cs="Times New Roman"/>
                <w:szCs w:val="20"/>
                <w:vertAlign w:val="superscript"/>
                <w:lang w:eastAsia="pl-PL"/>
              </w:rPr>
              <w:footnoteReference w:id="2"/>
            </w:r>
            <w:r w:rsidRPr="00744967">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216E7BF6" w14:textId="77777777" w:rsidR="009030D8" w:rsidRPr="00744967" w:rsidRDefault="009030D8" w:rsidP="008A1D93">
            <w:pPr>
              <w:numPr>
                <w:ilvl w:val="0"/>
                <w:numId w:val="13"/>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6 miejsc siedzących usytuowanych bezpośrednio na poziomie podłogi, bez podestów, w tym wymagane 6 (zalecane minimum 8) miejsc siedzących usytuowanych w I członie autobusu w pobliżu drugich drzwi;</w:t>
            </w:r>
          </w:p>
          <w:p w14:paraId="269656D9" w14:textId="77777777" w:rsidR="009030D8"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744967" w:rsidRDefault="009030D8" w:rsidP="00BD4C87">
            <w:pPr>
              <w:spacing w:after="0" w:line="240" w:lineRule="auto"/>
              <w:jc w:val="right"/>
              <w:rPr>
                <w:rFonts w:ascii="Cambria" w:eastAsia="Times New Roman" w:hAnsi="Cambria" w:cs="Times New Roman"/>
                <w:b/>
                <w:bCs/>
                <w:szCs w:val="20"/>
                <w:lang w:eastAsia="pl-PL"/>
              </w:rPr>
            </w:pPr>
            <w:r w:rsidRPr="00744967">
              <w:rPr>
                <w:rFonts w:ascii="Cambria" w:eastAsia="Times New Roman" w:hAnsi="Cambria" w:cs="Times New Roman"/>
                <w:szCs w:val="20"/>
                <w:lang w:eastAsia="pl-PL"/>
              </w:rPr>
              <w:t xml:space="preserve">siedzących i stojących ogółem </w:t>
            </w:r>
          </w:p>
          <w:p w14:paraId="278821E7" w14:textId="77777777" w:rsidR="009030D8" w:rsidRPr="00744967" w:rsidRDefault="009030D8" w:rsidP="00BD4C87">
            <w:pPr>
              <w:spacing w:before="120"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2C896912" w14:textId="758EEB73"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zastosowaniu wskaźnika powierzchni podłogi przeznaczonej na jednego pasażera wynoszącego 0,15 m</w:t>
            </w:r>
            <w:r w:rsidRPr="00744967">
              <w:rPr>
                <w:rFonts w:ascii="Cambria" w:eastAsia="Times New Roman" w:hAnsi="Cambria" w:cs="Times New Roman"/>
                <w:szCs w:val="20"/>
                <w:vertAlign w:val="superscript"/>
                <w:lang w:eastAsia="pl-PL"/>
              </w:rPr>
              <w:t>2</w:t>
            </w:r>
            <w:r w:rsidR="000A435B" w:rsidRPr="00744967">
              <w:rPr>
                <w:rFonts w:ascii="Cambria" w:eastAsia="Times New Roman" w:hAnsi="Cambria" w:cs="Times New Roman"/>
                <w:szCs w:val="20"/>
                <w:lang w:eastAsia="pl-PL"/>
              </w:rPr>
              <w:t xml:space="preserve"> </w:t>
            </w:r>
            <w:r w:rsidRPr="00744967">
              <w:rPr>
                <w:rFonts w:ascii="Cambria" w:eastAsia="Times New Roman" w:hAnsi="Cambria" w:cs="Times New Roman"/>
                <w:szCs w:val="20"/>
                <w:lang w:eastAsia="pl-PL"/>
              </w:rPr>
              <w:t xml:space="preserve">(wskaźnik napełnienia – </w:t>
            </w:r>
            <w:r w:rsidR="00276B9D" w:rsidRPr="00744967">
              <w:rPr>
                <w:rFonts w:ascii="Cambria" w:eastAsia="Times New Roman" w:hAnsi="Cambria" w:cs="Times New Roman"/>
                <w:szCs w:val="20"/>
                <w:lang w:eastAsia="pl-PL"/>
              </w:rPr>
              <w:t>6,7</w:t>
            </w:r>
            <w:r w:rsidRPr="00744967">
              <w:rPr>
                <w:rFonts w:ascii="Cambria" w:eastAsia="Times New Roman" w:hAnsi="Cambria" w:cs="Times New Roman"/>
                <w:szCs w:val="20"/>
                <w:lang w:eastAsia="pl-PL"/>
              </w:rPr>
              <w:t xml:space="preserve"> os</w:t>
            </w:r>
            <w:r w:rsidR="00C83DFC" w:rsidRPr="00744967">
              <w:rPr>
                <w:rFonts w:ascii="Cambria" w:eastAsia="Times New Roman" w:hAnsi="Cambria" w:cs="Times New Roman"/>
                <w:szCs w:val="20"/>
                <w:lang w:eastAsia="pl-PL"/>
              </w:rPr>
              <w:t>ó</w:t>
            </w:r>
            <w:r w:rsidRPr="00744967">
              <w:rPr>
                <w:rFonts w:ascii="Cambria" w:eastAsia="Times New Roman" w:hAnsi="Cambria" w:cs="Times New Roman"/>
                <w:szCs w:val="20"/>
                <w:lang w:eastAsia="pl-PL"/>
              </w:rPr>
              <w:t>b/m</w:t>
            </w:r>
            <w:r w:rsidRPr="00744967">
              <w:rPr>
                <w:rFonts w:ascii="Cambria" w:eastAsia="Times New Roman" w:hAnsi="Cambria" w:cs="Times New Roman"/>
                <w:szCs w:val="20"/>
                <w:vertAlign w:val="superscript"/>
                <w:lang w:eastAsia="pl-PL"/>
              </w:rPr>
              <w:t>2</w:t>
            </w:r>
            <w:r w:rsidRPr="00744967">
              <w:rPr>
                <w:rFonts w:ascii="Cambria" w:eastAsia="Times New Roman" w:hAnsi="Cambria" w:cs="Times New Roman"/>
                <w:szCs w:val="20"/>
                <w:lang w:eastAsia="pl-PL"/>
              </w:rPr>
              <w:t xml:space="preserve"> powierzchni podłogi S</w:t>
            </w:r>
            <w:r w:rsidRPr="00744967">
              <w:rPr>
                <w:rFonts w:ascii="Cambria" w:eastAsia="Times New Roman" w:hAnsi="Cambria" w:cs="Times New Roman"/>
                <w:szCs w:val="20"/>
                <w:vertAlign w:val="subscript"/>
                <w:lang w:eastAsia="pl-PL"/>
              </w:rPr>
              <w:t xml:space="preserve">1 </w:t>
            </w:r>
            <w:r w:rsidRPr="00744967">
              <w:rPr>
                <w:rFonts w:ascii="Cambria" w:eastAsia="Times New Roman" w:hAnsi="Cambria" w:cs="Times New Roman"/>
                <w:szCs w:val="20"/>
                <w:lang w:eastAsia="pl-PL"/>
              </w:rPr>
              <w:t>przeznaczonej dla pasażerów stojących)</w:t>
            </w:r>
          </w:p>
        </w:tc>
        <w:tc>
          <w:tcPr>
            <w:tcW w:w="2046" w:type="dxa"/>
          </w:tcPr>
          <w:p w14:paraId="2E909C5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CC9EC3F"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24</w:t>
            </w:r>
          </w:p>
          <w:p w14:paraId="697933C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9C37184" w14:textId="77777777" w:rsidR="009030D8" w:rsidRPr="00744967" w:rsidRDefault="009030D8" w:rsidP="00BD4C87">
            <w:pPr>
              <w:spacing w:after="0" w:line="240" w:lineRule="auto"/>
              <w:rPr>
                <w:rFonts w:ascii="Cambria" w:eastAsia="Times New Roman" w:hAnsi="Cambria" w:cs="Times New Roman"/>
                <w:szCs w:val="20"/>
                <w:lang w:eastAsia="pl-PL"/>
              </w:rPr>
            </w:pPr>
          </w:p>
          <w:p w14:paraId="09E6BF3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441F718" w14:textId="77777777" w:rsidR="009030D8" w:rsidRPr="00744967" w:rsidRDefault="009030D8" w:rsidP="00BD4C87">
            <w:pPr>
              <w:spacing w:after="0" w:line="240" w:lineRule="auto"/>
              <w:rPr>
                <w:rFonts w:ascii="Cambria" w:eastAsia="Times New Roman" w:hAnsi="Cambria" w:cs="Times New Roman"/>
                <w:szCs w:val="20"/>
                <w:lang w:eastAsia="pl-PL"/>
              </w:rPr>
            </w:pPr>
          </w:p>
          <w:p w14:paraId="21B13F5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27D6D9F9" w14:textId="77777777" w:rsidR="009030D8" w:rsidRPr="00744967" w:rsidRDefault="009030D8" w:rsidP="00BD4C87">
            <w:pPr>
              <w:spacing w:after="0" w:line="240" w:lineRule="auto"/>
              <w:rPr>
                <w:rFonts w:ascii="Cambria" w:eastAsia="Times New Roman" w:hAnsi="Cambria" w:cs="Times New Roman"/>
                <w:szCs w:val="20"/>
                <w:lang w:eastAsia="pl-PL"/>
              </w:rPr>
            </w:pPr>
          </w:p>
          <w:p w14:paraId="7874ED3C"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38BE177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F966BF8"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8B8F716"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AEBF9B5"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9D77230"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594488C2" w14:textId="77777777" w:rsidR="009030D8" w:rsidRPr="00744967" w:rsidRDefault="009030D8" w:rsidP="00BD4C87">
            <w:pPr>
              <w:spacing w:after="0" w:line="240" w:lineRule="auto"/>
              <w:jc w:val="center"/>
              <w:rPr>
                <w:rFonts w:ascii="Cambria" w:eastAsia="Times New Roman" w:hAnsi="Cambria" w:cs="Times New Roman"/>
                <w:lang w:eastAsia="pl-PL"/>
              </w:rPr>
            </w:pPr>
          </w:p>
          <w:p w14:paraId="5C622BB0" w14:textId="77777777" w:rsidR="002F5292" w:rsidRPr="00744967" w:rsidRDefault="002F5292" w:rsidP="002F5292">
            <w:pPr>
              <w:spacing w:after="0" w:line="240" w:lineRule="auto"/>
              <w:rPr>
                <w:rFonts w:ascii="Cambria" w:eastAsia="Times New Roman" w:hAnsi="Cambria" w:cs="Times New Roman"/>
                <w:lang w:eastAsia="pl-PL"/>
              </w:rPr>
            </w:pPr>
          </w:p>
          <w:p w14:paraId="3F6EAACE" w14:textId="6C28F1F3" w:rsidR="009030D8" w:rsidRPr="00744967" w:rsidRDefault="002F5292" w:rsidP="002F5292">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 xml:space="preserve">                    </w:t>
            </w:r>
            <w:r w:rsidR="002B36DD">
              <w:rPr>
                <w:rFonts w:ascii="Cambria" w:eastAsia="Times New Roman" w:hAnsi="Cambria" w:cs="Times New Roman"/>
                <w:color w:val="FF0000"/>
                <w:lang w:eastAsia="pl-PL"/>
              </w:rPr>
              <w:t>60</w:t>
            </w:r>
            <w:r w:rsidR="009030D8" w:rsidRPr="00744967">
              <w:rPr>
                <w:rFonts w:ascii="Cambria" w:eastAsia="Times New Roman" w:hAnsi="Cambria" w:cs="Times New Roman"/>
                <w:vertAlign w:val="superscript"/>
                <w:lang w:eastAsia="pl-PL"/>
              </w:rPr>
              <w:footnoteReference w:id="3"/>
            </w:r>
          </w:p>
          <w:p w14:paraId="139B76C8" w14:textId="77777777" w:rsidR="009030D8" w:rsidRPr="00744967" w:rsidRDefault="009030D8" w:rsidP="00BD4C87">
            <w:pPr>
              <w:spacing w:after="0" w:line="240" w:lineRule="auto"/>
              <w:jc w:val="center"/>
              <w:rPr>
                <w:rFonts w:ascii="Cambria" w:eastAsia="Times New Roman" w:hAnsi="Cambria" w:cs="Times New Roman"/>
                <w:strike/>
                <w:szCs w:val="20"/>
                <w:lang w:eastAsia="pl-PL"/>
              </w:rPr>
            </w:pPr>
            <w:r w:rsidRPr="00744967">
              <w:rPr>
                <w:rFonts w:ascii="Cambria" w:eastAsia="Times New Roman" w:hAnsi="Cambria" w:cs="Times New Roman"/>
                <w:lang w:eastAsia="pl-PL"/>
              </w:rPr>
              <w:t xml:space="preserve"> </w:t>
            </w:r>
          </w:p>
        </w:tc>
      </w:tr>
      <w:tr w:rsidR="00DB7B25" w:rsidRPr="00744967" w14:paraId="6CC15A20" w14:textId="77777777" w:rsidTr="001C684D">
        <w:tc>
          <w:tcPr>
            <w:tcW w:w="496" w:type="dxa"/>
            <w:vAlign w:val="center"/>
          </w:tcPr>
          <w:p w14:paraId="063F1565"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L</w:t>
            </w:r>
            <w:r w:rsidR="009030D8" w:rsidRPr="00744967">
              <w:rPr>
                <w:rFonts w:ascii="Cambria" w:eastAsia="Times New Roman" w:hAnsi="Cambria" w:cs="Times New Roman"/>
                <w:szCs w:val="20"/>
                <w:lang w:eastAsia="pl-PL"/>
              </w:rPr>
              <w:t>iczba miejsc wyznaczonych na:</w:t>
            </w:r>
          </w:p>
          <w:p w14:paraId="3C1351C0"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wózek dziecięcy</w:t>
            </w:r>
          </w:p>
          <w:p w14:paraId="4C33FC08"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wózek inwalidzki </w:t>
            </w:r>
          </w:p>
          <w:p w14:paraId="01588B1D" w14:textId="4D425E5B" w:rsidR="004044FE"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744967">
              <w:rPr>
                <w:rFonts w:ascii="Cambria" w:eastAsia="Times New Roman" w:hAnsi="Cambria" w:cs="Times New Roman"/>
                <w:szCs w:val="20"/>
                <w:lang w:eastAsia="pl-PL"/>
              </w:rPr>
              <w:t>, Zamawiający zaleca</w:t>
            </w:r>
            <w:r w:rsidR="004044FE" w:rsidRPr="00744967">
              <w:rPr>
                <w:rFonts w:ascii="Cambria" w:eastAsia="Times New Roman" w:hAnsi="Cambria" w:cs="Times New Roman"/>
                <w:szCs w:val="20"/>
                <w:vertAlign w:val="superscript"/>
                <w:lang w:eastAsia="pl-PL"/>
              </w:rPr>
              <w:footnoteReference w:id="4"/>
            </w:r>
            <w:r w:rsidR="004044FE" w:rsidRPr="00744967">
              <w:rPr>
                <w:rFonts w:ascii="Cambria" w:eastAsia="Times New Roman" w:hAnsi="Cambria" w:cs="Times New Roman"/>
                <w:szCs w:val="20"/>
                <w:lang w:eastAsia="pl-PL"/>
              </w:rPr>
              <w:t xml:space="preserve">  zastosowanie pasa bezpieczeństwa również w przypadku wózka ustawionego tyłem do kierunku jazdy</w:t>
            </w:r>
          </w:p>
        </w:tc>
        <w:tc>
          <w:tcPr>
            <w:tcW w:w="2046" w:type="dxa"/>
          </w:tcPr>
          <w:p w14:paraId="3CDD8099"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89B35BE"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w:t>
            </w:r>
          </w:p>
          <w:p w14:paraId="156975E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1</w:t>
            </w:r>
          </w:p>
          <w:p w14:paraId="09DC8AB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tc>
      </w:tr>
      <w:tr w:rsidR="00DB7B25" w:rsidRPr="00744967" w14:paraId="6248A506" w14:textId="77777777" w:rsidTr="001C684D">
        <w:trPr>
          <w:cantSplit/>
          <w:trHeight w:val="520"/>
        </w:trPr>
        <w:tc>
          <w:tcPr>
            <w:tcW w:w="496" w:type="dxa"/>
            <w:vAlign w:val="center"/>
          </w:tcPr>
          <w:p w14:paraId="50AB75CF"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744967" w:rsidRDefault="004D7F2A" w:rsidP="00BD4C87">
            <w:pPr>
              <w:spacing w:after="0" w:line="240" w:lineRule="auto"/>
              <w:rPr>
                <w:rFonts w:ascii="Cambria" w:eastAsia="Times New Roman" w:hAnsi="Cambria" w:cs="Times New Roman"/>
                <w:szCs w:val="24"/>
                <w:lang w:eastAsia="pl-PL"/>
              </w:rPr>
            </w:pPr>
            <w:r w:rsidRPr="00744967">
              <w:rPr>
                <w:rFonts w:ascii="Cambria" w:eastAsia="Times New Roman" w:hAnsi="Cambria" w:cs="Times New Roman"/>
                <w:szCs w:val="24"/>
                <w:lang w:eastAsia="pl-PL"/>
              </w:rPr>
              <w:t>D</w:t>
            </w:r>
            <w:r w:rsidR="009030D8" w:rsidRPr="00744967">
              <w:rPr>
                <w:rFonts w:ascii="Cambria" w:eastAsia="Times New Roman" w:hAnsi="Cambria" w:cs="Times New Roman"/>
                <w:szCs w:val="24"/>
                <w:lang w:eastAsia="pl-PL"/>
              </w:rPr>
              <w:t xml:space="preserve">rzwi pasażerskie: </w:t>
            </w:r>
            <w:r w:rsidR="009030D8" w:rsidRPr="00744967">
              <w:rPr>
                <w:rFonts w:ascii="Cambria" w:eastAsia="Times New Roman" w:hAnsi="Cambria" w:cs="Times New Roman"/>
                <w:szCs w:val="20"/>
                <w:lang w:eastAsia="pl-PL"/>
              </w:rPr>
              <w:t>spełniające wymagania Zał. nr 3 do Reg. nr 107 EKG ONZ</w:t>
            </w:r>
          </w:p>
          <w:p w14:paraId="361D9A07"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 xml:space="preserve">liczba drzwi pasażerskich </w:t>
            </w:r>
          </w:p>
          <w:p w14:paraId="28AACB0C"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układ drzwi pasażerskich</w:t>
            </w:r>
          </w:p>
        </w:tc>
        <w:tc>
          <w:tcPr>
            <w:tcW w:w="2046" w:type="dxa"/>
          </w:tcPr>
          <w:p w14:paraId="3B3C504B"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3E12B49"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w:t>
            </w:r>
          </w:p>
          <w:p w14:paraId="4046416C" w14:textId="77777777" w:rsidR="009030D8" w:rsidRPr="00744967" w:rsidRDefault="009030D8" w:rsidP="00BD4C87">
            <w:pPr>
              <w:spacing w:after="0" w:line="240" w:lineRule="auto"/>
              <w:jc w:val="center"/>
              <w:rPr>
                <w:rFonts w:ascii="Cambria" w:eastAsia="Times New Roman" w:hAnsi="Cambria" w:cs="Times New Roman"/>
                <w:i/>
                <w:iCs/>
                <w:szCs w:val="20"/>
                <w:lang w:eastAsia="pl-PL"/>
              </w:rPr>
            </w:pPr>
            <w:r w:rsidRPr="00744967">
              <w:rPr>
                <w:rFonts w:ascii="Cambria" w:eastAsia="Times New Roman" w:hAnsi="Cambria" w:cs="Times New Roman"/>
                <w:szCs w:val="20"/>
                <w:lang w:eastAsia="pl-PL"/>
              </w:rPr>
              <w:t xml:space="preserve">2-2-2 </w:t>
            </w:r>
          </w:p>
        </w:tc>
      </w:tr>
      <w:tr w:rsidR="00DB7B25" w:rsidRPr="00744967" w14:paraId="7EE38701" w14:textId="77777777" w:rsidTr="001C684D">
        <w:trPr>
          <w:cantSplit/>
        </w:trPr>
        <w:tc>
          <w:tcPr>
            <w:tcW w:w="496" w:type="dxa"/>
            <w:vAlign w:val="center"/>
          </w:tcPr>
          <w:p w14:paraId="17EFBA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w:t>
            </w:r>
            <w:r w:rsidR="009030D8" w:rsidRPr="00744967">
              <w:rPr>
                <w:rFonts w:ascii="Cambria" w:eastAsia="Times New Roman" w:hAnsi="Cambria" w:cs="Times New Roman"/>
                <w:szCs w:val="20"/>
                <w:lang w:eastAsia="pl-PL"/>
              </w:rPr>
              <w:t>kształtowanie podłogi:</w:t>
            </w:r>
          </w:p>
          <w:p w14:paraId="1AD3EF23" w14:textId="62335002"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całkowicie niskopodłogowy, bez stopni pośrednich na podłodze, w przejściu środkowym oraz w drzwiach, </w:t>
            </w:r>
            <w:r w:rsidRPr="00744967">
              <w:rPr>
                <w:rFonts w:ascii="Cambria" w:eastAsia="Times New Roman" w:hAnsi="Cambria" w:cs="Times New Roman"/>
                <w:bCs/>
                <w:szCs w:val="20"/>
                <w:lang w:eastAsia="pl-PL"/>
              </w:rPr>
              <w:t xml:space="preserve">jeden </w:t>
            </w:r>
            <w:r w:rsidRPr="00744967">
              <w:rPr>
                <w:rFonts w:ascii="Cambria" w:eastAsia="Times New Roman" w:hAnsi="Cambria" w:cs="Times New Roman"/>
                <w:szCs w:val="20"/>
                <w:lang w:eastAsia="pl-PL"/>
              </w:rPr>
              <w:t xml:space="preserve">stopień w każdych drzwiach, maksymalna wysokość stopnia (podłogi) na progu każdych </w:t>
            </w:r>
            <w:r w:rsidR="000A435B" w:rsidRPr="00744967">
              <w:rPr>
                <w:rFonts w:ascii="Cambria" w:eastAsia="Times New Roman" w:hAnsi="Cambria" w:cs="Times New Roman"/>
                <w:szCs w:val="20"/>
                <w:lang w:eastAsia="pl-PL"/>
              </w:rPr>
              <w:t>drzwi [</w:t>
            </w:r>
            <w:r w:rsidRPr="00744967">
              <w:rPr>
                <w:rFonts w:ascii="Cambria" w:eastAsia="Times New Roman" w:hAnsi="Cambria" w:cs="Times New Roman"/>
                <w:szCs w:val="20"/>
                <w:lang w:eastAsia="pl-PL"/>
              </w:rPr>
              <w:t>mm]</w:t>
            </w:r>
          </w:p>
          <w:p w14:paraId="4F89C20B" w14:textId="77777777"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046" w:type="dxa"/>
          </w:tcPr>
          <w:p w14:paraId="72E5FFE7" w14:textId="77777777" w:rsidR="009030D8" w:rsidRPr="00744967" w:rsidRDefault="009030D8" w:rsidP="00BD4C87">
            <w:pPr>
              <w:spacing w:after="0" w:line="240" w:lineRule="auto"/>
              <w:ind w:firstLine="708"/>
              <w:jc w:val="center"/>
              <w:rPr>
                <w:rFonts w:ascii="Cambria" w:eastAsia="Times New Roman" w:hAnsi="Cambria" w:cs="Times New Roman"/>
                <w:szCs w:val="20"/>
                <w:lang w:eastAsia="pl-PL"/>
              </w:rPr>
            </w:pPr>
          </w:p>
          <w:p w14:paraId="7C972DEF"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4ECA351E" w14:textId="77777777" w:rsidR="009030D8" w:rsidRPr="00744967" w:rsidRDefault="009030D8" w:rsidP="00BD4C87">
            <w:pPr>
              <w:spacing w:after="0" w:line="240" w:lineRule="auto"/>
              <w:rPr>
                <w:rFonts w:ascii="Cambria" w:eastAsia="Times New Roman" w:hAnsi="Cambria" w:cs="Times New Roman"/>
                <w:szCs w:val="20"/>
                <w:lang w:eastAsia="pl-PL"/>
              </w:rPr>
            </w:pPr>
          </w:p>
          <w:p w14:paraId="3E648D26"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340</w:t>
            </w:r>
          </w:p>
          <w:p w14:paraId="1F1F4DA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0EF2423B"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520</w:t>
            </w:r>
          </w:p>
        </w:tc>
      </w:tr>
      <w:tr w:rsidR="00DB7B25" w:rsidRPr="00744967" w14:paraId="4254D1E8" w14:textId="77777777" w:rsidTr="001C684D">
        <w:trPr>
          <w:trHeight w:val="505"/>
        </w:trPr>
        <w:tc>
          <w:tcPr>
            <w:tcW w:w="496" w:type="dxa"/>
            <w:vAlign w:val="center"/>
          </w:tcPr>
          <w:p w14:paraId="79BF2CB1"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ałkowita szerokość autobusu                                                                         [m]</w:t>
            </w:r>
          </w:p>
        </w:tc>
        <w:tc>
          <w:tcPr>
            <w:tcW w:w="2046" w:type="dxa"/>
            <w:vAlign w:val="center"/>
          </w:tcPr>
          <w:p w14:paraId="64DE61A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2,50 ÷ 2,55</w:t>
            </w:r>
          </w:p>
        </w:tc>
      </w:tr>
      <w:tr w:rsidR="00DB7B25" w:rsidRPr="00744967" w14:paraId="07FFD885" w14:textId="77777777" w:rsidTr="001C684D">
        <w:trPr>
          <w:trHeight w:val="506"/>
        </w:trPr>
        <w:tc>
          <w:tcPr>
            <w:tcW w:w="496" w:type="dxa"/>
            <w:vAlign w:val="center"/>
          </w:tcPr>
          <w:p w14:paraId="4B0578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ałkowita długość autobusu                                                                            [m]</w:t>
            </w:r>
          </w:p>
        </w:tc>
        <w:tc>
          <w:tcPr>
            <w:tcW w:w="2046" w:type="dxa"/>
            <w:vAlign w:val="center"/>
          </w:tcPr>
          <w:p w14:paraId="0B42428D"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11,8 ÷ 12,2</w:t>
            </w:r>
          </w:p>
        </w:tc>
      </w:tr>
    </w:tbl>
    <w:p w14:paraId="7D2209C1" w14:textId="27303C5D" w:rsidR="009030D8" w:rsidRPr="00744967" w:rsidRDefault="00BD4C87" w:rsidP="009030D8">
      <w:pPr>
        <w:spacing w:after="0" w:line="240" w:lineRule="auto"/>
        <w:rPr>
          <w:rFonts w:ascii="Cambria" w:eastAsia="Times New Roman" w:hAnsi="Cambria" w:cs="Times New Roman"/>
          <w:sz w:val="20"/>
          <w:szCs w:val="20"/>
          <w:lang w:eastAsia="pl-PL"/>
        </w:rPr>
      </w:pPr>
      <w:r w:rsidRPr="00744967">
        <w:rPr>
          <w:rFonts w:ascii="Cambria" w:eastAsia="Times New Roman" w:hAnsi="Cambria" w:cs="Times New Roman"/>
          <w:sz w:val="20"/>
          <w:szCs w:val="20"/>
          <w:lang w:eastAsia="pl-PL"/>
        </w:rPr>
        <w:br w:type="textWrapping" w:clear="all"/>
      </w:r>
    </w:p>
    <w:p w14:paraId="1DDD2E19" w14:textId="77777777" w:rsidR="009030D8" w:rsidRPr="00744967"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744967"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9913"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588"/>
      </w:tblGrid>
      <w:tr w:rsidR="00DB7B25" w:rsidRPr="00744967" w14:paraId="603DBBE3" w14:textId="77777777" w:rsidTr="001C684D">
        <w:trPr>
          <w:tblHeader/>
        </w:trPr>
        <w:tc>
          <w:tcPr>
            <w:tcW w:w="379" w:type="dxa"/>
          </w:tcPr>
          <w:p w14:paraId="7084492C" w14:textId="77777777" w:rsidR="009030D8" w:rsidRPr="00744967" w:rsidRDefault="009030D8" w:rsidP="009030D8">
            <w:pPr>
              <w:spacing w:after="0" w:line="240" w:lineRule="auto"/>
              <w:jc w:val="center"/>
              <w:rPr>
                <w:rFonts w:ascii="Cambria" w:eastAsia="Times New Roman" w:hAnsi="Cambria" w:cs="Times New Roman"/>
                <w:b/>
                <w:sz w:val="20"/>
                <w:szCs w:val="20"/>
                <w:lang w:eastAsia="pl-PL"/>
              </w:rPr>
            </w:pPr>
            <w:r w:rsidRPr="00744967">
              <w:rPr>
                <w:rFonts w:ascii="Cambria" w:eastAsia="Times New Roman" w:hAnsi="Cambria" w:cs="Times New Roman"/>
                <w:b/>
                <w:sz w:val="20"/>
                <w:szCs w:val="20"/>
                <w:lang w:eastAsia="pl-PL"/>
              </w:rPr>
              <w:t>lp.</w:t>
            </w:r>
          </w:p>
        </w:tc>
        <w:tc>
          <w:tcPr>
            <w:tcW w:w="1946" w:type="dxa"/>
          </w:tcPr>
          <w:p w14:paraId="1DF80177" w14:textId="77777777" w:rsidR="009030D8" w:rsidRPr="00744967" w:rsidRDefault="009030D8"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zespół, instalacja</w:t>
            </w:r>
          </w:p>
        </w:tc>
        <w:tc>
          <w:tcPr>
            <w:tcW w:w="7588" w:type="dxa"/>
          </w:tcPr>
          <w:p w14:paraId="4E5CFC09" w14:textId="2FAE62C4" w:rsidR="009030D8" w:rsidRPr="00744967" w:rsidRDefault="0061432F"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w:t>
            </w:r>
            <w:r w:rsidR="009030D8" w:rsidRPr="00744967">
              <w:rPr>
                <w:rFonts w:ascii="Cambria" w:eastAsia="Times New Roman" w:hAnsi="Cambria" w:cs="Times New Roman"/>
                <w:b/>
                <w:szCs w:val="20"/>
                <w:lang w:eastAsia="pl-PL"/>
              </w:rPr>
              <w:t>ymagania</w:t>
            </w:r>
          </w:p>
        </w:tc>
      </w:tr>
      <w:tr w:rsidR="00DB7B25" w:rsidRPr="00744967" w14:paraId="1A523D1C" w14:textId="77777777" w:rsidTr="001C684D">
        <w:tc>
          <w:tcPr>
            <w:tcW w:w="379" w:type="dxa"/>
          </w:tcPr>
          <w:p w14:paraId="3B5DCC68"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D06029" w:rsidRPr="00744967" w:rsidRDefault="00D06029" w:rsidP="00D06029">
            <w:pPr>
              <w:spacing w:after="0" w:line="240" w:lineRule="auto"/>
              <w:ind w:left="283" w:hanging="283"/>
              <w:rPr>
                <w:rFonts w:ascii="Cambria" w:eastAsia="Times New Roman" w:hAnsi="Cambria" w:cs="Times New Roman"/>
                <w:lang w:eastAsia="pl-PL"/>
              </w:rPr>
            </w:pPr>
            <w:r w:rsidRPr="00744967">
              <w:rPr>
                <w:rFonts w:ascii="Cambria" w:eastAsia="Times New Roman" w:hAnsi="Cambria" w:cs="Times New Roman"/>
                <w:lang w:eastAsia="pl-PL"/>
              </w:rPr>
              <w:t>Silnik trakcyjny, napęd</w:t>
            </w:r>
          </w:p>
          <w:p w14:paraId="18777C90" w14:textId="249C5DB3" w:rsidR="00D06029" w:rsidRPr="00744967" w:rsidRDefault="00D06029" w:rsidP="00D06029">
            <w:pPr>
              <w:spacing w:after="0" w:line="240" w:lineRule="auto"/>
              <w:ind w:left="283" w:hanging="283"/>
              <w:rPr>
                <w:rFonts w:ascii="Cambria" w:eastAsia="Times New Roman" w:hAnsi="Cambria" w:cs="Times New Roman"/>
                <w:lang w:eastAsia="pl-PL"/>
              </w:rPr>
            </w:pPr>
          </w:p>
        </w:tc>
        <w:tc>
          <w:tcPr>
            <w:tcW w:w="7588" w:type="dxa"/>
          </w:tcPr>
          <w:p w14:paraId="7E95ED55"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silnik elektryczny centralny lub silniki elektryczne zintegrowane z osią napędową;</w:t>
            </w:r>
          </w:p>
          <w:p w14:paraId="58BEC7D8" w14:textId="77777777"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maksymalna moc netto silnika lub zespołu silników nie mniejsza niż 160 kW,</w:t>
            </w:r>
          </w:p>
          <w:p w14:paraId="2A058DF3"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chłodzenie silnika(ów) cieczą;</w:t>
            </w:r>
          </w:p>
          <w:p w14:paraId="32236D02" w14:textId="1EEE7A6F" w:rsidR="00D06029" w:rsidRPr="00744967" w:rsidRDefault="00D06029" w:rsidP="00D06029">
            <w:pPr>
              <w:numPr>
                <w:ilvl w:val="0"/>
                <w:numId w:val="1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możliwość eksploatacji w temperaturze zewnętrznej od – </w:t>
            </w:r>
            <w:r w:rsidR="002B36DD">
              <w:rPr>
                <w:rFonts w:ascii="Cambria" w:eastAsia="Times New Roman" w:hAnsi="Cambria" w:cs="Times New Roman"/>
                <w:color w:val="FF0000"/>
                <w:szCs w:val="20"/>
                <w:lang w:eastAsia="pl-PL"/>
              </w:rPr>
              <w:t>25</w:t>
            </w:r>
            <w:r w:rsidRPr="00744967">
              <w:rPr>
                <w:rFonts w:ascii="Cambria" w:eastAsia="Times New Roman" w:hAnsi="Cambria" w:cs="Times New Roman"/>
                <w:szCs w:val="20"/>
                <w:lang w:eastAsia="pl-PL"/>
              </w:rPr>
              <w:t>°C do 50°C;</w:t>
            </w:r>
          </w:p>
          <w:p w14:paraId="1419B561" w14:textId="77777777" w:rsidR="00D06029" w:rsidRPr="00744967" w:rsidRDefault="00D06029" w:rsidP="001C684D">
            <w:pPr>
              <w:numPr>
                <w:ilvl w:val="0"/>
                <w:numId w:val="1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wyposażenie układu sterującego pracą silnika trakcyjnego w funkcję ograniczenia prędkości maksymalnej autobusu do prędkości 80 km/h;</w:t>
            </w:r>
          </w:p>
          <w:p w14:paraId="3987659E" w14:textId="395000F0"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zaleca się wykonanie z wykorzystaniem technologii zmniejszających zużycie energii np. poprzez zwiększenie sprawności silnika trakcyjnego, przetwornicy, zmniejszenie wymiarów i masy; </w:t>
            </w:r>
          </w:p>
        </w:tc>
      </w:tr>
      <w:tr w:rsidR="00DB7B25" w:rsidRPr="00744967" w14:paraId="6552DDAE" w14:textId="77777777" w:rsidTr="001C684D">
        <w:tc>
          <w:tcPr>
            <w:tcW w:w="379" w:type="dxa"/>
          </w:tcPr>
          <w:p w14:paraId="5FFF256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Akumulatory trakcyjne</w:t>
            </w:r>
          </w:p>
          <w:p w14:paraId="225F59F9"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484FA5DB"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typ baterii: baterie litowo-jonowe (baterie o dużej pojemności energetycznej);</w:t>
            </w:r>
          </w:p>
          <w:p w14:paraId="329AA0E5"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baterie z układem chłodzenia;</w:t>
            </w:r>
          </w:p>
          <w:p w14:paraId="711B3EF7"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deklarowana użytkowa pojemność energetyczna baterii trakcyjnych: min 420 kWh (za użytkową pojemność uważa się pojemność energetyczną </w:t>
            </w:r>
            <w:r w:rsidRPr="00744967">
              <w:rPr>
                <w:rFonts w:ascii="Cambria" w:eastAsia="Times New Roman" w:hAnsi="Cambria" w:cs="Times New Roman"/>
                <w:lang w:eastAsia="pl-PL"/>
              </w:rPr>
              <w:lastRenderedPageBreak/>
              <w:t>całkowicie dostępną dla użytkownika), pozwalająca na uzyskanie zasięgu na jednym ładowaniu nie mniejszego niż 300km</w:t>
            </w:r>
            <w:r w:rsidRPr="00744967">
              <w:rPr>
                <w:rStyle w:val="Odwoanieprzypisudolnego"/>
                <w:rFonts w:ascii="Cambria" w:eastAsia="Times New Roman" w:hAnsi="Cambria" w:cs="Times New Roman"/>
                <w:lang w:eastAsia="pl-PL"/>
              </w:rPr>
              <w:footnoteReference w:id="5"/>
            </w:r>
            <w:r w:rsidRPr="00744967">
              <w:rPr>
                <w:rFonts w:ascii="Cambria" w:eastAsia="Times New Roman" w:hAnsi="Cambria" w:cs="Times New Roman"/>
                <w:lang w:eastAsia="pl-PL"/>
              </w:rPr>
              <w:t>. Zamawiający do celów obliczeniowych przyjmuje, że wartość użytkowej pojemności energetycznej będzie wynosić nie więcej niż 80 % wartości pojemności nominalnej baterii trakcyjnych;</w:t>
            </w:r>
          </w:p>
          <w:p w14:paraId="3D4B786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Wykonawca zadeklaruje w ofercie gwarantowany minimalny przebieg autobusu (nie mniejszy jak 300 km) w okresie gwarancji na baterie trakcyjne, w warunkach eksploatacyjnych Zamawiającego (warunki eksploatacyjne zostały określone w SWZ Rozdział 18 „Opis kryteriów oceny ofert wraz z podaniem wag tych kryteriów i sposobu oceny ofert: pkt. 1.2.1); </w:t>
            </w:r>
          </w:p>
          <w:p w14:paraId="1356C5D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10lat lub uzyskanie przebiegu 700.000km w zależności co nastąpi wcześniej: lub do spadku użytkowej pojemności nie większego niż do poziomu 80% wartości początkowej, przy przebiegach rocznych autobusu ok. 70.000 km, przy ładowaniu mocą o wartości do 150 kW;</w:t>
            </w:r>
          </w:p>
          <w:p w14:paraId="02F061FC"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od 10 do 15 roku eksploatacji</w:t>
            </w:r>
            <w:r w:rsidRPr="00744967">
              <w:rPr>
                <w:rStyle w:val="Odwoanieprzypisudolnego"/>
                <w:rFonts w:ascii="Cambria" w:eastAsia="Times New Roman" w:hAnsi="Cambria" w:cs="Times New Roman"/>
                <w:lang w:eastAsia="pl-PL"/>
              </w:rPr>
              <w:footnoteReference w:id="6"/>
            </w:r>
            <w:r w:rsidRPr="00744967">
              <w:rPr>
                <w:rFonts w:ascii="Cambria" w:eastAsia="Times New Roman" w:hAnsi="Cambria" w:cs="Times New Roman"/>
                <w:lang w:eastAsia="pl-PL"/>
              </w:rPr>
              <w:t xml:space="preserve"> do spadku użytkowej pojemności baterii trakcyjnej nie większego niż do poziomu 70% wartości początkowej, uzyskanie zasięgu na jednym ładowaniu niemniejszego niż 190 km ww. okresie;</w:t>
            </w:r>
          </w:p>
          <w:p w14:paraId="5AEBBFB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strike/>
                <w:lang w:eastAsia="pl-PL"/>
              </w:rPr>
            </w:pPr>
            <w:r w:rsidRPr="00744967">
              <w:rPr>
                <w:rFonts w:ascii="Cambria" w:eastAsia="Times New Roman" w:hAnsi="Cambria" w:cs="Times New Roman"/>
                <w:lang w:eastAsia="pl-PL"/>
              </w:rPr>
              <w:t>Wykonawca zapewni możliwość weryfikacji pojemności baterii trakcyjnych;</w:t>
            </w:r>
          </w:p>
          <w:p w14:paraId="212687AE"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p>
          <w:p w14:paraId="5E2FF188"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7051C7A5"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wymagana moc ładowania plug-in: do 150 kW;</w:t>
            </w:r>
          </w:p>
        </w:tc>
      </w:tr>
      <w:tr w:rsidR="00DB7B25" w:rsidRPr="00744967" w14:paraId="05F5E901" w14:textId="77777777" w:rsidTr="001C684D">
        <w:trPr>
          <w:cantSplit/>
        </w:trPr>
        <w:tc>
          <w:tcPr>
            <w:tcW w:w="379" w:type="dxa"/>
          </w:tcPr>
          <w:p w14:paraId="370F57B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Systemy ładowania baterii trakcyjnej</w:t>
            </w:r>
          </w:p>
        </w:tc>
        <w:tc>
          <w:tcPr>
            <w:tcW w:w="7588" w:type="dxa"/>
          </w:tcPr>
          <w:p w14:paraId="4559247C" w14:textId="77777777" w:rsidR="00D06029" w:rsidRPr="00744967" w:rsidRDefault="00D06029" w:rsidP="00D06029">
            <w:pPr>
              <w:numPr>
                <w:ilvl w:val="0"/>
                <w:numId w:val="17"/>
              </w:numPr>
              <w:spacing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szCs w:val="20"/>
                <w:lang w:eastAsia="pl-PL"/>
              </w:rPr>
              <w:t>autobus musi być wyposażony w automatyczny układ blokady uruchomienia autobusu (ruszenia) przy podłączonej ładowarce (nieodłączonej wtyczce ładowarki);</w:t>
            </w:r>
          </w:p>
          <w:p w14:paraId="07D973E7"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szCs w:val="20"/>
                <w:lang w:eastAsia="pl-PL"/>
              </w:rPr>
              <w:t xml:space="preserve">autobus musi być wyposażony w automatyczny elektryczny/elektroniczny system rozłączania układu ładowania </w:t>
            </w:r>
            <w:r w:rsidRPr="00744967">
              <w:rPr>
                <w:rFonts w:ascii="Cambria" w:eastAsia="Times New Roman" w:hAnsi="Cambria" w:cs="Times New Roman"/>
                <w:lang w:eastAsia="pl-PL"/>
              </w:rPr>
              <w:t xml:space="preserve">akumulatorów </w:t>
            </w:r>
            <w:r w:rsidRPr="00744967">
              <w:rPr>
                <w:rFonts w:ascii="Cambria" w:eastAsia="Times New Roman" w:hAnsi="Cambria" w:cs="Times New Roman"/>
                <w:szCs w:val="20"/>
                <w:lang w:eastAsia="pl-PL"/>
              </w:rPr>
              <w:t xml:space="preserve">trakcyjnych po osiągnięciu stanu pełnego naładowania, przy zaniku faz ładowania lub przekroczeniu parametrów ładowania; (autobus wysyła do stacji ładowania polecenie o zakończeniu procesu ładowania);  </w:t>
            </w:r>
          </w:p>
          <w:p w14:paraId="3C402A01"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ŁADOWANIE PLUG-IN</w:t>
            </w:r>
          </w:p>
          <w:p w14:paraId="04982DFA"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gniazdo ładowania plug-in</w:t>
            </w:r>
            <w:r w:rsidRPr="00744967">
              <w:rPr>
                <w:rFonts w:ascii="Cambria" w:eastAsia="Times New Roman" w:hAnsi="Cambria" w:cs="Times New Roman"/>
                <w:i/>
                <w:iCs/>
                <w:lang w:eastAsia="pl-PL"/>
              </w:rPr>
              <w:t>: Combo Type 2</w:t>
            </w:r>
            <w:r w:rsidRPr="00744967">
              <w:rPr>
                <w:rFonts w:ascii="Cambria" w:eastAsia="Times New Roman" w:hAnsi="Cambria" w:cs="Times New Roman"/>
                <w:lang w:eastAsia="pl-PL"/>
              </w:rPr>
              <w:t xml:space="preserve"> wg IEC 62196-3, usytuowane po prawej stronie autobusu – nadkole przedniej osi i na zwisie tylnym (łącznie dwa gniazda);</w:t>
            </w:r>
          </w:p>
          <w:p w14:paraId="5D28797B" w14:textId="18B85C4B"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moc ładowania plug-in </w:t>
            </w:r>
            <w:r w:rsidR="00B371E4" w:rsidRPr="00744967">
              <w:rPr>
                <w:rFonts w:ascii="Cambria" w:eastAsia="Times New Roman" w:hAnsi="Cambria" w:cs="Times New Roman"/>
                <w:lang w:eastAsia="pl-PL"/>
              </w:rPr>
              <w:t>do</w:t>
            </w:r>
            <w:r w:rsidRPr="00744967">
              <w:rPr>
                <w:rFonts w:ascii="Cambria" w:eastAsia="Times New Roman" w:hAnsi="Cambria" w:cs="Times New Roman"/>
                <w:szCs w:val="20"/>
                <w:lang w:eastAsia="pl-PL"/>
              </w:rPr>
              <w:t xml:space="preserve"> </w:t>
            </w:r>
            <w:r w:rsidR="00B371E4" w:rsidRPr="00744967">
              <w:rPr>
                <w:rFonts w:ascii="Cambria" w:eastAsia="Times New Roman" w:hAnsi="Cambria" w:cs="Times New Roman"/>
                <w:szCs w:val="20"/>
                <w:lang w:eastAsia="pl-PL"/>
              </w:rPr>
              <w:t>150</w:t>
            </w:r>
            <w:r w:rsidRPr="00744967">
              <w:rPr>
                <w:rFonts w:ascii="Cambria" w:eastAsia="Times New Roman" w:hAnsi="Cambria" w:cs="Times New Roman"/>
                <w:szCs w:val="20"/>
                <w:lang w:eastAsia="pl-PL"/>
              </w:rPr>
              <w:t xml:space="preserve"> kW;</w:t>
            </w:r>
          </w:p>
          <w:p w14:paraId="74C93D3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PROTOKÓŁ TRANSMISJI DANYCH</w:t>
            </w:r>
          </w:p>
          <w:p w14:paraId="673E8FDE"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b/>
                <w:lang w:eastAsia="pl-PL"/>
              </w:rPr>
            </w:pPr>
            <w:r w:rsidRPr="00744967">
              <w:rPr>
                <w:rFonts w:ascii="Cambria" w:eastAsia="Times New Roman" w:hAnsi="Cambria" w:cs="Times New Roman"/>
                <w:lang w:eastAsia="pl-PL"/>
              </w:rPr>
              <w:t>protokół transmisji danych ładowania plug-in: komunikacja przewodowa PLC (</w:t>
            </w:r>
            <w:r w:rsidRPr="00744967">
              <w:rPr>
                <w:rFonts w:ascii="Cambria" w:eastAsia="Times New Roman" w:hAnsi="Cambria" w:cs="Times New Roman"/>
                <w:i/>
                <w:iCs/>
                <w:lang w:eastAsia="pl-PL"/>
              </w:rPr>
              <w:t>Power Line Communication</w:t>
            </w:r>
            <w:r w:rsidRPr="00744967">
              <w:rPr>
                <w:rFonts w:ascii="Cambria" w:eastAsia="Times New Roman" w:hAnsi="Cambria" w:cs="Times New Roman"/>
                <w:lang w:eastAsia="pl-PL"/>
              </w:rPr>
              <w:t>) bazująca na normach: IEC 61851, DIN 70121, ISO/IEC 15118;</w:t>
            </w:r>
          </w:p>
          <w:p w14:paraId="3E74127C" w14:textId="662221AC"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DB7B25" w:rsidRPr="00744967" w14:paraId="591D2C98" w14:textId="77777777" w:rsidTr="001C684D">
        <w:tc>
          <w:tcPr>
            <w:tcW w:w="379" w:type="dxa"/>
          </w:tcPr>
          <w:p w14:paraId="45F8898E" w14:textId="115C106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Informacje o stanie baterii i procesie ładowania</w:t>
            </w:r>
          </w:p>
        </w:tc>
        <w:tc>
          <w:tcPr>
            <w:tcW w:w="7588" w:type="dxa"/>
          </w:tcPr>
          <w:p w14:paraId="3629E967" w14:textId="77777777" w:rsidR="00D06029" w:rsidRPr="00744967" w:rsidRDefault="00D06029" w:rsidP="00D06029">
            <w:pPr>
              <w:spacing w:after="0" w:line="240" w:lineRule="auto"/>
              <w:ind w:left="360" w:hanging="360"/>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TRANSMISJA DANYCH</w:t>
            </w:r>
          </w:p>
          <w:p w14:paraId="00EBE6D8" w14:textId="346B351D"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89594F" w:rsidRPr="00744967">
              <w:rPr>
                <w:rFonts w:asciiTheme="majorHAnsi" w:eastAsia="Times New Roman" w:hAnsiTheme="majorHAnsi" w:cs="Times New Roman"/>
                <w:lang w:eastAsia="pl-PL"/>
              </w:rPr>
              <w:t>1.5.2</w:t>
            </w:r>
            <w:r w:rsidRPr="00744967">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744967">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75039873"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25FC6586"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ECF7A5A"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744967">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895C322"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INFORMACJE NA DESCE ROZDZIELCZEJ KIEROWCY</w:t>
            </w:r>
          </w:p>
          <w:p w14:paraId="046BD389"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t>
            </w:r>
            <w:r w:rsidRPr="00744967">
              <w:rPr>
                <w:rFonts w:asciiTheme="majorHAnsi" w:eastAsia="Times New Roman" w:hAnsiTheme="majorHAnsi" w:cs="Times New Roman"/>
                <w:lang w:eastAsia="pl-PL"/>
              </w:rPr>
              <w:lastRenderedPageBreak/>
              <w:t>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379EDCA0"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744967">
              <w:rPr>
                <w:rFonts w:asciiTheme="majorHAnsi" w:eastAsia="Times New Roman" w:hAnsiTheme="majorHAnsi" w:cs="Times New Roman"/>
                <w:lang w:eastAsia="pl-PL"/>
              </w:rPr>
              <w:t xml:space="preserve"> Szczegółowa lista danych dotycząca baterii trakcyjnych zostanie </w:t>
            </w:r>
            <w:r w:rsidRPr="00744967">
              <w:rPr>
                <w:rFonts w:asciiTheme="majorHAnsi" w:eastAsia="Times New Roman" w:hAnsiTheme="majorHAnsi" w:cs="Times New Roman"/>
                <w:lang w:eastAsia="ar-SA"/>
              </w:rPr>
              <w:t>ustalona w trybie roboczym po podpisaniu umowy, na etapie produkcji pierwszej sztuki autobusu</w:t>
            </w:r>
            <w:r w:rsidRPr="00744967">
              <w:rPr>
                <w:rFonts w:asciiTheme="majorHAnsi" w:eastAsia="Times New Roman" w:hAnsiTheme="majorHAnsi" w:cs="Times New Roman"/>
                <w:sz w:val="24"/>
                <w:szCs w:val="24"/>
                <w:lang w:eastAsia="pl-PL"/>
              </w:rPr>
              <w:t>;</w:t>
            </w:r>
          </w:p>
          <w:p w14:paraId="6482C642"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4385" behindDoc="0" locked="0" layoutInCell="1" allowOverlap="1" wp14:anchorId="5FECD037" wp14:editId="1AFCB0AA">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01986C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6438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3361" behindDoc="0" locked="0" layoutInCell="1" allowOverlap="1" wp14:anchorId="6B1225B3" wp14:editId="323D29DB">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794C40DD" id="Pismo odręczne 1" o:spid="_x0000_s1026" type="#_x0000_t75" style="position:absolute;margin-left:232.5pt;margin-top:62.3pt;width:3.3pt;height:3.5pt;z-index:25166336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Pr="00744967">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07FCAD8B"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039A5FA1"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IDENTYFIKACJA POJAZDU</w:t>
            </w:r>
          </w:p>
          <w:p w14:paraId="54534475"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19761359" w14:textId="77777777" w:rsidR="00D06029" w:rsidRPr="00744967" w:rsidRDefault="00D06029" w:rsidP="00D06029">
            <w:pPr>
              <w:spacing w:after="0" w:line="240" w:lineRule="auto"/>
              <w:rPr>
                <w:rFonts w:asciiTheme="majorHAnsi" w:eastAsia="Times New Roman" w:hAnsiTheme="majorHAnsi" w:cs="Times New Roman"/>
                <w:lang w:eastAsia="pl-PL"/>
              </w:rPr>
            </w:pPr>
            <w:bookmarkStart w:id="1" w:name="_Hlk175731447"/>
            <w:r w:rsidRPr="00744967">
              <w:rPr>
                <w:rFonts w:asciiTheme="majorHAnsi" w:eastAsia="Times New Roman" w:hAnsiTheme="majorHAnsi" w:cs="Times New Roman"/>
                <w:lang w:eastAsia="pl-PL"/>
              </w:rPr>
              <w:t>DANE PRZEKAZYWANE ON-LINE</w:t>
            </w:r>
          </w:p>
          <w:p w14:paraId="61D104D0"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2AB28458" w14:textId="77777777" w:rsidR="00D06029" w:rsidRPr="00744967" w:rsidRDefault="00D06029" w:rsidP="00DB7B25">
            <w:pPr>
              <w:spacing w:after="0" w:line="240" w:lineRule="auto"/>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DANE PRZEKAZYWANE PO ZJEŹDZIE AUTOBUSU DO ODDZIAŁU</w:t>
            </w:r>
          </w:p>
          <w:p w14:paraId="1D8BE336"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79EFB57" w14:textId="1A984DC9" w:rsidR="00D06029" w:rsidRPr="00744967" w:rsidRDefault="00D06029" w:rsidP="00DB7B25">
            <w:pPr>
              <w:numPr>
                <w:ilvl w:val="0"/>
                <w:numId w:val="19"/>
              </w:numPr>
              <w:spacing w:after="0" w:line="240" w:lineRule="auto"/>
              <w:contextualSpacing/>
              <w:jc w:val="both"/>
              <w:rPr>
                <w:rFonts w:ascii="Cambria" w:eastAsia="Times New Roman" w:hAnsi="Cambria" w:cs="Times New Roman"/>
                <w:lang w:eastAsia="pl-PL"/>
              </w:rPr>
            </w:pPr>
            <w:r w:rsidRPr="00744967">
              <w:rPr>
                <w:rFonts w:asciiTheme="majorHAnsi" w:eastAsia="Times New Roman" w:hAnsiTheme="majorHAnsi" w:cs="Times New Roman"/>
                <w:lang w:eastAsia="pl-PL"/>
              </w:rPr>
              <w:t>z możliwością łatwego wyeksportowania danych telemetrycznych do formatu *.xls, *.xlsx</w:t>
            </w:r>
            <w:bookmarkEnd w:id="1"/>
            <w:r w:rsidRPr="00744967">
              <w:rPr>
                <w:rFonts w:asciiTheme="majorHAnsi" w:eastAsia="Times New Roman" w:hAnsiTheme="majorHAnsi" w:cs="Times New Roman"/>
                <w:lang w:eastAsia="pl-PL"/>
              </w:rPr>
              <w:t>;</w:t>
            </w:r>
          </w:p>
        </w:tc>
      </w:tr>
      <w:tr w:rsidR="00DB7B25" w:rsidRPr="00744967" w14:paraId="372A6B49" w14:textId="77777777" w:rsidTr="001C684D">
        <w:trPr>
          <w:cantSplit/>
        </w:trPr>
        <w:tc>
          <w:tcPr>
            <w:tcW w:w="379" w:type="dxa"/>
          </w:tcPr>
          <w:p w14:paraId="4F44A3F3"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Oś przednia</w:t>
            </w:r>
          </w:p>
          <w:p w14:paraId="5526FE9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kierowana</w:t>
            </w:r>
          </w:p>
        </w:tc>
        <w:tc>
          <w:tcPr>
            <w:tcW w:w="7588" w:type="dxa"/>
          </w:tcPr>
          <w:p w14:paraId="7184F48D" w14:textId="77777777" w:rsidR="00D06029" w:rsidRPr="00744967" w:rsidRDefault="00D06029" w:rsidP="00D06029">
            <w:pPr>
              <w:pStyle w:val="Akapitzlist"/>
              <w:numPr>
                <w:ilvl w:val="0"/>
                <w:numId w:val="30"/>
              </w:numPr>
              <w:rPr>
                <w:rFonts w:asciiTheme="majorHAnsi" w:hAnsiTheme="majorHAnsi"/>
                <w:sz w:val="22"/>
                <w:szCs w:val="22"/>
              </w:rPr>
            </w:pPr>
            <w:r w:rsidRPr="00744967">
              <w:rPr>
                <w:rFonts w:asciiTheme="majorHAnsi" w:hAnsiTheme="majorHAnsi"/>
                <w:sz w:val="22"/>
                <w:szCs w:val="22"/>
              </w:rPr>
              <w:t>rozwiązanie konstrukcyjne ze sztywną belką; dopuszcza się zastosowanie zawieszenia niezależnego osi przedniej;</w:t>
            </w:r>
          </w:p>
          <w:p w14:paraId="65B6F6E4" w14:textId="14A6CB6C" w:rsidR="00D06029" w:rsidRPr="00744967" w:rsidRDefault="00D06029" w:rsidP="00D06029">
            <w:pPr>
              <w:pStyle w:val="Akapitzlist"/>
              <w:numPr>
                <w:ilvl w:val="0"/>
                <w:numId w:val="30"/>
              </w:numPr>
              <w:rPr>
                <w:rFonts w:ascii="Cambria" w:hAnsi="Cambria"/>
                <w:sz w:val="22"/>
                <w:szCs w:val="22"/>
              </w:rPr>
            </w:pPr>
            <w:r w:rsidRPr="00744967">
              <w:rPr>
                <w:rFonts w:asciiTheme="majorHAnsi" w:hAnsiTheme="majorHAnsi"/>
                <w:sz w:val="22"/>
                <w:szCs w:val="22"/>
              </w:rPr>
              <w:t>zastosowane osłony ochronne śrub mocujących koła;</w:t>
            </w:r>
          </w:p>
        </w:tc>
      </w:tr>
      <w:tr w:rsidR="00DB7B25" w:rsidRPr="00744967" w14:paraId="68B408CA" w14:textId="77777777" w:rsidTr="001C684D">
        <w:trPr>
          <w:cantSplit/>
        </w:trPr>
        <w:tc>
          <w:tcPr>
            <w:tcW w:w="379" w:type="dxa"/>
          </w:tcPr>
          <w:p w14:paraId="71629CE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Most napędowy</w:t>
            </w:r>
          </w:p>
          <w:p w14:paraId="594FC842" w14:textId="77777777" w:rsidR="00D06029" w:rsidRPr="00744967" w:rsidRDefault="00D06029" w:rsidP="00D06029">
            <w:pPr>
              <w:tabs>
                <w:tab w:val="right" w:pos="1806"/>
              </w:tabs>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mechaniczny –</w:t>
            </w:r>
            <w:r w:rsidRPr="00744967">
              <w:rPr>
                <w:rFonts w:ascii="Cambria" w:eastAsia="Times New Roman" w:hAnsi="Cambria" w:cs="Times New Roman"/>
                <w:szCs w:val="20"/>
                <w:lang w:eastAsia="pl-PL"/>
              </w:rPr>
              <w:tab/>
            </w:r>
          </w:p>
          <w:p w14:paraId="64C268D0"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jeśli występuje</w:t>
            </w:r>
          </w:p>
        </w:tc>
        <w:tc>
          <w:tcPr>
            <w:tcW w:w="7588" w:type="dxa"/>
          </w:tcPr>
          <w:p w14:paraId="0FDDFF95"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przełożenie dobrane w sposób minimalizujący zużycie energii elektrycznej w warunkach drogowych aglomeracji Warszawskiej;</w:t>
            </w:r>
          </w:p>
          <w:p w14:paraId="3E915699" w14:textId="52A2B8D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uzębienie przekładni wykonane w sposób minimalizujący emisję hałasu;</w:t>
            </w:r>
          </w:p>
        </w:tc>
      </w:tr>
      <w:tr w:rsidR="00DB7B25" w:rsidRPr="00744967" w14:paraId="1BD780A3" w14:textId="77777777" w:rsidTr="001C684D">
        <w:tc>
          <w:tcPr>
            <w:tcW w:w="379" w:type="dxa"/>
          </w:tcPr>
          <w:p w14:paraId="5DC22C16"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kierowniczy  </w:t>
            </w:r>
          </w:p>
        </w:tc>
        <w:tc>
          <w:tcPr>
            <w:tcW w:w="7588" w:type="dxa"/>
          </w:tcPr>
          <w:p w14:paraId="786886CC"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ze wspomaganiem hydraulicznym lub elektrohydraulicznym, końcówki drążków bezobsługowe typu „</w:t>
            </w:r>
            <w:r w:rsidRPr="00744967">
              <w:rPr>
                <w:rFonts w:asciiTheme="majorHAnsi" w:eastAsia="Times New Roman" w:hAnsiTheme="majorHAnsi" w:cs="Times New Roman"/>
                <w:i/>
                <w:iCs/>
                <w:szCs w:val="20"/>
                <w:lang w:eastAsia="pl-PL"/>
              </w:rPr>
              <w:t>for life</w:t>
            </w:r>
            <w:r w:rsidRPr="00744967">
              <w:rPr>
                <w:rFonts w:asciiTheme="majorHAnsi" w:eastAsia="Times New Roman" w:hAnsiTheme="majorHAnsi" w:cs="Times New Roman"/>
                <w:szCs w:val="20"/>
                <w:lang w:eastAsia="pl-PL"/>
              </w:rPr>
              <w:t>”;</w:t>
            </w:r>
          </w:p>
          <w:p w14:paraId="5D082F27"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diagnoza układu kierowniczego realizowana przez złącze diagnostyczne dedykowane lub przez złącze OBD,</w:t>
            </w:r>
            <w:r w:rsidRPr="00744967">
              <w:rPr>
                <w:rFonts w:asciiTheme="majorHAnsi" w:eastAsia="Times New Roman" w:hAnsiTheme="majorHAnsi" w:cs="Times New Roman"/>
                <w:szCs w:val="24"/>
                <w:lang w:eastAsia="pl-PL"/>
              </w:rPr>
              <w:t xml:space="preserve"> dopuszcza się diagnostykę układu kierowniczego bezpośrednio z poziomu pulpitu kierowcy, z zastrzeżeniem, że zapewni ona jednoznaczną identyfikację błędów dla serwisu Zamawiającego;</w:t>
            </w:r>
          </w:p>
          <w:p w14:paraId="5564ECA6" w14:textId="1E05CC81"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p>
        </w:tc>
      </w:tr>
      <w:tr w:rsidR="00DB7B25" w:rsidRPr="00744967" w14:paraId="63763A9C" w14:textId="77777777" w:rsidTr="001C684D">
        <w:trPr>
          <w:trHeight w:val="248"/>
        </w:trPr>
        <w:tc>
          <w:tcPr>
            <w:tcW w:w="379" w:type="dxa"/>
          </w:tcPr>
          <w:p w14:paraId="356EA90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pneumatyczny</w:t>
            </w:r>
          </w:p>
        </w:tc>
        <w:tc>
          <w:tcPr>
            <w:tcW w:w="7588" w:type="dxa"/>
          </w:tcPr>
          <w:p w14:paraId="44CE128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obwód przygotowania powietrza wyposażony m. in. w:</w:t>
            </w:r>
          </w:p>
          <w:p w14:paraId="30A8F8EB" w14:textId="77777777" w:rsidR="00D06029" w:rsidRPr="00744967" w:rsidRDefault="00D06029" w:rsidP="00D06029">
            <w:pPr>
              <w:numPr>
                <w:ilvl w:val="0"/>
                <w:numId w:val="7"/>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lub sprężarki śrubowej napędzanych przez silnik elektryczny;</w:t>
            </w:r>
          </w:p>
          <w:p w14:paraId="5D62143B"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sterowany automatycznie odolejacz;</w:t>
            </w:r>
          </w:p>
          <w:p w14:paraId="16AEF281"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5099F4E3" w14:textId="77777777" w:rsidR="00D06029" w:rsidRPr="00744967" w:rsidRDefault="00D06029" w:rsidP="00D06029">
            <w:pPr>
              <w:pStyle w:val="Akapitzlist"/>
              <w:numPr>
                <w:ilvl w:val="0"/>
                <w:numId w:val="31"/>
              </w:numPr>
              <w:jc w:val="both"/>
              <w:rPr>
                <w:rFonts w:ascii="Cambria" w:hAnsi="Cambria"/>
                <w:sz w:val="22"/>
                <w:szCs w:val="22"/>
              </w:rPr>
            </w:pPr>
            <w:r w:rsidRPr="00744967">
              <w:rPr>
                <w:rFonts w:ascii="Cambria" w:hAnsi="Cambria"/>
                <w:sz w:val="22"/>
                <w:szCs w:val="22"/>
              </w:rPr>
              <w:t>elementy układu pneumatycznego (min. osuszacz, odolejacz) zabezpieczone przed nadmiernym zabrudzeniem z ruchu ulicznego, i innymi zabrudzeniami pojawiającymi się w trakcie eksploatacji;</w:t>
            </w:r>
          </w:p>
          <w:p w14:paraId="3D5480E1" w14:textId="77777777" w:rsidR="00D06029" w:rsidRPr="00744967" w:rsidRDefault="00D06029" w:rsidP="00D06029">
            <w:pPr>
              <w:numPr>
                <w:ilvl w:val="0"/>
                <w:numId w:val="8"/>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6DE11E76" w14:textId="77777777" w:rsidR="00D06029" w:rsidRPr="00744967" w:rsidRDefault="00D06029" w:rsidP="00D06029">
            <w:pPr>
              <w:numPr>
                <w:ilvl w:val="0"/>
                <w:numId w:val="9"/>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39C6FB5" w14:textId="705A9631" w:rsidR="00D06029" w:rsidRPr="00744967" w:rsidRDefault="00D06029" w:rsidP="00D06029">
            <w:pPr>
              <w:numPr>
                <w:ilvl w:val="0"/>
                <w:numId w:val="9"/>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przewody pneumatyczne sztywne – wykonane z materiałów nierdzewnych;</w:t>
            </w:r>
          </w:p>
        </w:tc>
      </w:tr>
      <w:tr w:rsidR="00DB7B25" w:rsidRPr="00744967" w14:paraId="72D448CB" w14:textId="77777777" w:rsidTr="001C684D">
        <w:trPr>
          <w:cantSplit/>
        </w:trPr>
        <w:tc>
          <w:tcPr>
            <w:tcW w:w="379" w:type="dxa"/>
          </w:tcPr>
          <w:p w14:paraId="49B353E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F1D40F2" w:rsidR="00D06029" w:rsidRPr="00744967" w:rsidRDefault="00D06029" w:rsidP="00D06029">
            <w:pPr>
              <w:spacing w:after="0" w:line="240" w:lineRule="auto"/>
              <w:ind w:hanging="283"/>
              <w:rPr>
                <w:rFonts w:ascii="Cambria" w:eastAsia="Times New Roman" w:hAnsi="Cambria" w:cs="Times New Roman"/>
                <w:vertAlign w:val="superscript"/>
                <w:lang w:eastAsia="pl-PL"/>
              </w:rPr>
            </w:pPr>
            <w:r w:rsidRPr="00744967">
              <w:rPr>
                <w:rFonts w:ascii="Cambria" w:eastAsia="Times New Roman" w:hAnsi="Cambria" w:cs="Times New Roman"/>
                <w:lang w:eastAsia="pl-PL"/>
              </w:rPr>
              <w:t xml:space="preserve">U   Układ hamulcowy i układ inteligentnego wspomagania </w:t>
            </w:r>
            <w:r w:rsidR="000A435B" w:rsidRPr="00744967">
              <w:rPr>
                <w:rFonts w:ascii="Cambria" w:eastAsia="Times New Roman" w:hAnsi="Cambria" w:cs="Times New Roman"/>
                <w:lang w:eastAsia="pl-PL"/>
              </w:rPr>
              <w:t>hamowania,</w:t>
            </w:r>
            <w:r w:rsidRPr="00744967">
              <w:rPr>
                <w:rFonts w:ascii="Cambria" w:eastAsia="Times New Roman" w:hAnsi="Cambria" w:cs="Times New Roman"/>
                <w:lang w:eastAsia="pl-PL"/>
              </w:rPr>
              <w:t xml:space="preserve"> jeśli wystąpi </w:t>
            </w:r>
            <w:r w:rsidRPr="00744967">
              <w:rPr>
                <w:rStyle w:val="Odwoanieprzypisudolnego"/>
                <w:rFonts w:ascii="Cambria" w:eastAsia="Times New Roman" w:hAnsi="Cambria" w:cs="Times New Roman"/>
                <w:lang w:eastAsia="pl-PL"/>
              </w:rPr>
              <w:footnoteReference w:id="7"/>
            </w:r>
          </w:p>
        </w:tc>
        <w:tc>
          <w:tcPr>
            <w:tcW w:w="7588" w:type="dxa"/>
          </w:tcPr>
          <w:p w14:paraId="7595D62E" w14:textId="77777777" w:rsidR="00D06029" w:rsidRPr="00744967" w:rsidRDefault="00D06029" w:rsidP="00D06029">
            <w:p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w:t>
            </w:r>
          </w:p>
          <w:p w14:paraId="10469BA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hamulce tarczowe;</w:t>
            </w:r>
          </w:p>
          <w:p w14:paraId="7FCDE95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zaciski hamulcowe z automatyczną regulacją luzu;</w:t>
            </w:r>
          </w:p>
          <w:p w14:paraId="197ED8F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EBS;</w:t>
            </w:r>
          </w:p>
          <w:p w14:paraId="3255AA6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B783B18" w14:textId="57EE71B8"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w:t>
            </w:r>
            <w:r w:rsidRPr="00744967">
              <w:rPr>
                <w:rFonts w:asciiTheme="majorHAnsi" w:eastAsia="Times New Roman" w:hAnsiTheme="majorHAnsi" w:cs="Times New Roman"/>
                <w:szCs w:val="20"/>
                <w:lang w:eastAsia="pl-PL"/>
              </w:rPr>
              <w:t xml:space="preserve">użyciem, którego użycie jest raportowane zgodnie z Załącznikiem nr </w:t>
            </w:r>
            <w:r w:rsidR="0089594F" w:rsidRPr="00744967">
              <w:rPr>
                <w:rFonts w:asciiTheme="majorHAnsi" w:eastAsia="Times New Roman" w:hAnsiTheme="majorHAnsi" w:cs="Times New Roman"/>
                <w:szCs w:val="20"/>
                <w:lang w:eastAsia="pl-PL"/>
              </w:rPr>
              <w:t>1.5.2</w:t>
            </w:r>
            <w:r w:rsidRPr="00744967">
              <w:rPr>
                <w:rFonts w:asciiTheme="majorHAnsi" w:eastAsia="Times New Roman" w:hAnsiTheme="majorHAnsi" w:cs="Times New Roman"/>
                <w:szCs w:val="20"/>
                <w:lang w:eastAsia="pl-PL"/>
              </w:rPr>
              <w:t xml:space="preserve"> do SWZ;</w:t>
            </w:r>
          </w:p>
          <w:p w14:paraId="7DD1C089" w14:textId="6E7FC83B" w:rsidR="00D06029" w:rsidRPr="00744967" w:rsidRDefault="00D06029" w:rsidP="00DB7B25">
            <w:pPr>
              <w:numPr>
                <w:ilvl w:val="0"/>
                <w:numId w:val="4"/>
              </w:numPr>
              <w:spacing w:after="0" w:line="240" w:lineRule="auto"/>
              <w:jc w:val="both"/>
              <w:rPr>
                <w:rFonts w:asciiTheme="majorHAnsi" w:eastAsia="Times New Roman" w:hAnsiTheme="majorHAnsi" w:cs="Times New Roman"/>
                <w:lang w:eastAsia="pl-PL"/>
              </w:rPr>
            </w:pPr>
            <w:r w:rsidRPr="00744967">
              <w:rPr>
                <w:rFonts w:asciiTheme="majorHAnsi" w:hAnsiTheme="majorHAnsi"/>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DB7B25" w:rsidRPr="00744967" w14:paraId="0EB9DE51" w14:textId="77777777" w:rsidTr="001C684D">
        <w:tc>
          <w:tcPr>
            <w:tcW w:w="379" w:type="dxa"/>
          </w:tcPr>
          <w:p w14:paraId="54F98BD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0D26F7F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Zawieszenie i aktywne </w:t>
            </w:r>
            <w:r w:rsidR="000A435B" w:rsidRPr="00744967">
              <w:rPr>
                <w:rFonts w:ascii="Cambria" w:eastAsia="Times New Roman" w:hAnsi="Cambria" w:cs="Times New Roman"/>
                <w:szCs w:val="20"/>
                <w:lang w:eastAsia="pl-PL"/>
              </w:rPr>
              <w:t>zawieszenie,</w:t>
            </w:r>
            <w:r w:rsidRPr="00744967">
              <w:rPr>
                <w:rFonts w:ascii="Cambria" w:eastAsia="Times New Roman" w:hAnsi="Cambria" w:cs="Times New Roman"/>
                <w:szCs w:val="20"/>
                <w:lang w:eastAsia="pl-PL"/>
              </w:rPr>
              <w:t xml:space="preserve"> jeśli wystąpi </w:t>
            </w:r>
            <w:r w:rsidRPr="00744967">
              <w:rPr>
                <w:rStyle w:val="Odwoanieprzypisudolnego"/>
                <w:rFonts w:ascii="Cambria" w:eastAsia="Times New Roman" w:hAnsi="Cambria" w:cs="Times New Roman"/>
                <w:szCs w:val="20"/>
                <w:lang w:eastAsia="pl-PL"/>
              </w:rPr>
              <w:footnoteReference w:id="8"/>
            </w:r>
          </w:p>
          <w:p w14:paraId="6B9F5158" w14:textId="0887838A"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7D7C6A1B"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28FF76DC"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61EE5182" w14:textId="6B7FA2DF"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744967">
              <w:rPr>
                <w:b/>
                <w:bCs/>
                <w:sz w:val="20"/>
              </w:rPr>
              <w:t>;</w:t>
            </w:r>
          </w:p>
        </w:tc>
      </w:tr>
      <w:tr w:rsidR="00DB7B25" w:rsidRPr="00744967" w14:paraId="2A08C623" w14:textId="77777777" w:rsidTr="001C684D">
        <w:trPr>
          <w:trHeight w:val="350"/>
        </w:trPr>
        <w:tc>
          <w:tcPr>
            <w:tcW w:w="379" w:type="dxa"/>
          </w:tcPr>
          <w:p w14:paraId="0B928718"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Ogumienie</w:t>
            </w:r>
          </w:p>
        </w:tc>
        <w:tc>
          <w:tcPr>
            <w:tcW w:w="7588" w:type="dxa"/>
          </w:tcPr>
          <w:p w14:paraId="5C065EEF"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bezdętkowe, typu miejskiego;</w:t>
            </w:r>
          </w:p>
          <w:p w14:paraId="7B74DF45" w14:textId="72B795F3"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gwarantowany poziom emitowanego hałasu nie większy niż </w:t>
            </w:r>
            <w:r w:rsidRPr="009172E3">
              <w:rPr>
                <w:rFonts w:ascii="Cambria" w:eastAsia="Times New Roman" w:hAnsi="Cambria" w:cs="Times New Roman"/>
                <w:color w:val="FF0000"/>
                <w:szCs w:val="20"/>
                <w:lang w:eastAsia="pl-PL"/>
              </w:rPr>
              <w:t>7</w:t>
            </w:r>
            <w:r w:rsidR="009172E3" w:rsidRPr="009172E3">
              <w:rPr>
                <w:rFonts w:ascii="Cambria" w:eastAsia="Times New Roman" w:hAnsi="Cambria" w:cs="Times New Roman"/>
                <w:color w:val="FF0000"/>
                <w:szCs w:val="20"/>
                <w:lang w:eastAsia="pl-PL"/>
              </w:rPr>
              <w:t>2</w:t>
            </w:r>
            <w:r w:rsidR="009172E3">
              <w:rPr>
                <w:rFonts w:ascii="Cambria" w:eastAsia="Times New Roman" w:hAnsi="Cambria" w:cs="Times New Roman"/>
                <w:szCs w:val="20"/>
                <w:lang w:eastAsia="pl-PL"/>
              </w:rPr>
              <w:t xml:space="preserve"> </w:t>
            </w:r>
            <w:proofErr w:type="spellStart"/>
            <w:r w:rsidRPr="00744967">
              <w:rPr>
                <w:rFonts w:ascii="Cambria" w:eastAsia="Times New Roman" w:hAnsi="Cambria" w:cs="Times New Roman"/>
                <w:szCs w:val="20"/>
                <w:lang w:eastAsia="pl-PL"/>
              </w:rPr>
              <w:t>dB</w:t>
            </w:r>
            <w:proofErr w:type="spellEnd"/>
            <w:r w:rsidRPr="00744967">
              <w:rPr>
                <w:rFonts w:ascii="Cambria" w:eastAsia="Times New Roman" w:hAnsi="Cambria" w:cs="Times New Roman"/>
                <w:szCs w:val="20"/>
                <w:lang w:eastAsia="pl-PL"/>
              </w:rPr>
              <w:t xml:space="preserve"> (A);</w:t>
            </w:r>
          </w:p>
          <w:p w14:paraId="4DA66236"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koła na osi napędowej wyposażone w ogumienie bliźniacze;</w:t>
            </w:r>
          </w:p>
          <w:p w14:paraId="03128D1C"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 kołach wewnętrznych przedłużane wentyle; </w:t>
            </w:r>
          </w:p>
          <w:p w14:paraId="40FFA279" w14:textId="7B218F94"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opony nie starsze niż </w:t>
            </w:r>
            <w:r w:rsidR="009172E3">
              <w:rPr>
                <w:rFonts w:ascii="Cambria" w:eastAsia="Times New Roman" w:hAnsi="Cambria" w:cs="Times New Roman"/>
                <w:color w:val="FF0000"/>
                <w:szCs w:val="20"/>
                <w:lang w:eastAsia="pl-PL"/>
              </w:rPr>
              <w:t>52 tygodnie</w:t>
            </w:r>
            <w:r w:rsidRPr="009172E3">
              <w:rPr>
                <w:rFonts w:ascii="Cambria" w:eastAsia="Times New Roman" w:hAnsi="Cambria" w:cs="Times New Roman"/>
                <w:color w:val="FF0000"/>
                <w:szCs w:val="20"/>
                <w:lang w:eastAsia="pl-PL"/>
              </w:rPr>
              <w:t xml:space="preserve"> </w:t>
            </w:r>
            <w:r w:rsidRPr="00744967">
              <w:rPr>
                <w:rFonts w:ascii="Cambria" w:eastAsia="Times New Roman" w:hAnsi="Cambria" w:cs="Times New Roman"/>
                <w:szCs w:val="20"/>
                <w:lang w:eastAsia="pl-PL"/>
              </w:rPr>
              <w:t>od daty dostawy autobusu;</w:t>
            </w:r>
          </w:p>
        </w:tc>
      </w:tr>
      <w:tr w:rsidR="00DB7B25" w:rsidRPr="00744967" w14:paraId="330FC563" w14:textId="77777777" w:rsidTr="001C684D">
        <w:trPr>
          <w:trHeight w:val="248"/>
        </w:trPr>
        <w:tc>
          <w:tcPr>
            <w:tcW w:w="379" w:type="dxa"/>
          </w:tcPr>
          <w:p w14:paraId="2DA5FFD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ogrzewania </w:t>
            </w:r>
          </w:p>
          <w:p w14:paraId="25374E3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(oraz ogrzewania i</w:t>
            </w:r>
          </w:p>
          <w:p w14:paraId="55C01A20"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chłodzenia baterii) </w:t>
            </w:r>
          </w:p>
          <w:p w14:paraId="45B7136B"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187B585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działający automatycznie, w oparciu o dane rejestrowane przez czujniki temperatury wewnątrz i na zewnątrz autobusu, we współpracy z układem </w:t>
            </w:r>
            <w:r w:rsidRPr="00744967">
              <w:rPr>
                <w:rFonts w:ascii="Cambria" w:eastAsia="Times New Roman" w:hAnsi="Cambria" w:cs="Times New Roman"/>
                <w:szCs w:val="20"/>
                <w:lang w:eastAsia="pl-PL"/>
              </w:rPr>
              <w:lastRenderedPageBreak/>
              <w:t>klimatyzacji z pompą ciepła autobusu, [opcjonalnie] dodatkowym systemem przygotowania komfortu termicznego zdalnie sterowanym z wykorzystaniem energii elektrycznej uzyskiwanej podczas ładowania oraz z układem ogrzewania i chłodzenia baterii;</w:t>
            </w:r>
          </w:p>
          <w:p w14:paraId="4EF936A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urządzenia grzewcze działające w automatyce, w funkcji temperatury czynnika grzewczego;</w:t>
            </w:r>
          </w:p>
          <w:p w14:paraId="49B1B8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42076852"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3139DB98"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 zbiornikiem akumulacyjnym, pompą obiegową i sygnalizacją poziomu płynu</w:t>
            </w:r>
          </w:p>
          <w:p w14:paraId="13AA2C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75AAC335" w14:textId="0286E6B0"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DB7B25" w:rsidRPr="00744967" w14:paraId="77D2AE56" w14:textId="77777777" w:rsidTr="001C684D">
        <w:trPr>
          <w:trHeight w:val="243"/>
        </w:trPr>
        <w:tc>
          <w:tcPr>
            <w:tcW w:w="379" w:type="dxa"/>
          </w:tcPr>
          <w:p w14:paraId="7F1427A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Nagrzewnice </w:t>
            </w:r>
          </w:p>
          <w:p w14:paraId="33DA8981"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przestrzeni pasażerskiej</w:t>
            </w:r>
          </w:p>
        </w:tc>
        <w:tc>
          <w:tcPr>
            <w:tcW w:w="7588" w:type="dxa"/>
          </w:tcPr>
          <w:p w14:paraId="70976B2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7BF77E11"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zamontowanie nagrzewnic w przestrzeni pasażerskiej w sposób chroniący pasażerów przed przypadkowym zranieniem lub kontuzją;</w:t>
            </w:r>
          </w:p>
          <w:p w14:paraId="60AC564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5E803734" w14:textId="4E769E42"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DB7B25" w:rsidRPr="00744967" w14:paraId="71E98B78" w14:textId="77777777" w:rsidTr="001C684D">
        <w:tc>
          <w:tcPr>
            <w:tcW w:w="379" w:type="dxa"/>
          </w:tcPr>
          <w:p w14:paraId="6877216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Agregat grzewczy  </w:t>
            </w:r>
          </w:p>
          <w:p w14:paraId="3D48AE74" w14:textId="79A7EBE0"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*jeśli występuje</w:t>
            </w:r>
          </w:p>
        </w:tc>
        <w:tc>
          <w:tcPr>
            <w:tcW w:w="7588" w:type="dxa"/>
          </w:tcPr>
          <w:p w14:paraId="65A053ED"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52C0A6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3B7E34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w:t>
            </w:r>
          </w:p>
          <w:p w14:paraId="00982EA9"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sterowany automatycznie w zależności od temperatury czynnika grzejnego, wyłączany po osiągnięciu wymaganej temperatury wnętrza;</w:t>
            </w:r>
          </w:p>
          <w:p w14:paraId="6942BE84"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podgrzewany filtr paliwa z wkładem papierowym;</w:t>
            </w:r>
          </w:p>
          <w:p w14:paraId="4093C5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włączony w układ ogrzewania autobusu;</w:t>
            </w:r>
          </w:p>
          <w:p w14:paraId="0019A00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ze sterownikiem z zegarem preselekcyjnym;</w:t>
            </w:r>
          </w:p>
          <w:p w14:paraId="721CD4A0"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aktualne wymagania Regulaminu Nr 122 EKG ONZ;</w:t>
            </w:r>
          </w:p>
          <w:p w14:paraId="397FABAB" w14:textId="57160525" w:rsidR="00D06029" w:rsidRPr="00744967" w:rsidRDefault="00D06029" w:rsidP="00DB7B25">
            <w:pPr>
              <w:numPr>
                <w:ilvl w:val="0"/>
                <w:numId w:val="4"/>
              </w:numPr>
              <w:spacing w:after="0" w:line="240" w:lineRule="auto"/>
              <w:jc w:val="both"/>
              <w:rPr>
                <w:rFonts w:ascii="Cambria" w:hAnsi="Cambria"/>
              </w:rPr>
            </w:pPr>
            <w:r w:rsidRPr="00744967">
              <w:rPr>
                <w:rFonts w:ascii="Cambria" w:eastAsia="Times New Roman" w:hAnsi="Cambria" w:cs="Times New Roman"/>
                <w:szCs w:val="20"/>
                <w:lang w:eastAsia="pl-PL"/>
              </w:rPr>
              <w:t>zalecane zastosowanie filtrów i rozwiązań ograniczających emisję substancji szkodliwych i gazów;</w:t>
            </w:r>
          </w:p>
        </w:tc>
      </w:tr>
      <w:tr w:rsidR="00DB7B25" w:rsidRPr="00744967" w14:paraId="1A636B35" w14:textId="77777777" w:rsidTr="001C684D">
        <w:tc>
          <w:tcPr>
            <w:tcW w:w="379" w:type="dxa"/>
          </w:tcPr>
          <w:p w14:paraId="27987E5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Rury układu ogrzewania                 i chłodzenia</w:t>
            </w:r>
          </w:p>
        </w:tc>
        <w:tc>
          <w:tcPr>
            <w:tcW w:w="7588" w:type="dxa"/>
          </w:tcPr>
          <w:p w14:paraId="0CA1CD1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korozję (stal nierdzewna, miedź, mosiądz lub tworzywa sztuczne);</w:t>
            </w:r>
          </w:p>
          <w:p w14:paraId="3645719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termoizolowane (zalecana izolacja bez szwu);</w:t>
            </w:r>
          </w:p>
          <w:p w14:paraId="2123082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złączki z materiału na bazie kauczuku etyleno-propyleno-dienowego (EPDM), dopuszcza się kauczuk silikonowy; zaciskane opaskami ślimakowymi lub innymi gwarantującymi szczelność połączenia w całym okresie eksploatacji;</w:t>
            </w:r>
          </w:p>
          <w:p w14:paraId="6AD8CDFE" w14:textId="02D05036"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p>
        </w:tc>
      </w:tr>
      <w:tr w:rsidR="00DB7B25" w:rsidRPr="00744967" w14:paraId="066B4817" w14:textId="77777777" w:rsidTr="001C684D">
        <w:tc>
          <w:tcPr>
            <w:tcW w:w="379" w:type="dxa"/>
          </w:tcPr>
          <w:p w14:paraId="73149350"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Wentylacja przestrzeni pasażerskiej</w:t>
            </w:r>
          </w:p>
        </w:tc>
        <w:tc>
          <w:tcPr>
            <w:tcW w:w="7588" w:type="dxa"/>
          </w:tcPr>
          <w:p w14:paraId="17C89E8A"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676C73D"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okno otwierane musi posiadać możliwość trwałego zablokowania go przez kierowcę, w pozycji zamkniętej, zamkiem typu kwadrat, przy pracującym urządzeniu klimatyzacyjnym w przestrzeni pasażerskiej;</w:t>
            </w:r>
          </w:p>
          <w:p w14:paraId="15C61DFE"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naturalna, przez uchylne wywietrzniki dachowe – opcjonalnie (otwieranie przód-tył niezależne; możliwość wyboru ustawienia otwarcia: przód, przód + tył, tył); umieszczenie</w:t>
            </w:r>
            <w:r w:rsidRPr="00744967" w:rsidDel="0017400D">
              <w:rPr>
                <w:rFonts w:ascii="Cambria" w:eastAsia="Times New Roman" w:hAnsi="Cambria" w:cs="Times New Roman"/>
                <w:lang w:eastAsia="pl-PL"/>
              </w:rPr>
              <w:t xml:space="preserve"> </w:t>
            </w:r>
            <w:r w:rsidRPr="00744967">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744967">
              <w:rPr>
                <w:rFonts w:ascii="Cambria" w:hAnsi="Cambria"/>
              </w:rPr>
              <w:t>;</w:t>
            </w:r>
          </w:p>
          <w:p w14:paraId="03F26DCF" w14:textId="6C7960E7" w:rsidR="00D06029" w:rsidRPr="00744967" w:rsidRDefault="00D06029" w:rsidP="00D06029">
            <w:pPr>
              <w:numPr>
                <w:ilvl w:val="0"/>
                <w:numId w:val="20"/>
              </w:numPr>
              <w:spacing w:after="0" w:line="240" w:lineRule="auto"/>
              <w:ind w:left="275" w:hanging="283"/>
              <w:contextualSpacing/>
              <w:rPr>
                <w:rFonts w:ascii="Cambria" w:eastAsia="Times New Roman" w:hAnsi="Cambria" w:cs="Times New Roman"/>
                <w:lang w:eastAsia="pl-PL"/>
              </w:rPr>
            </w:pPr>
            <w:r w:rsidRPr="00744967">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w:t>
            </w:r>
            <w:r w:rsidRPr="00744967">
              <w:rPr>
                <w:rFonts w:asciiTheme="majorHAnsi" w:hAnsiTheme="majorHAnsi"/>
              </w:rPr>
              <w:lastRenderedPageBreak/>
              <w:t>specjalnym</w:t>
            </w:r>
            <w:r w:rsidRPr="00744967">
              <w:rPr>
                <w:rStyle w:val="Odwoanieprzypisudolnego"/>
                <w:rFonts w:asciiTheme="majorHAnsi" w:hAnsiTheme="majorHAnsi"/>
              </w:rPr>
              <w:footnoteReference w:id="9"/>
            </w:r>
            <w:r w:rsidRPr="00744967">
              <w:rPr>
                <w:rFonts w:asciiTheme="majorHAnsi" w:hAnsiTheme="majorHAnsi"/>
              </w:rPr>
              <w:t xml:space="preserve"> pracy wentylacji wymuszonej wyłącznie w przestrzeni pasażerskiej;</w:t>
            </w:r>
          </w:p>
        </w:tc>
      </w:tr>
      <w:tr w:rsidR="00DB7B25" w:rsidRPr="00744967" w14:paraId="0A1C725C" w14:textId="77777777" w:rsidTr="001C684D">
        <w:tc>
          <w:tcPr>
            <w:tcW w:w="379" w:type="dxa"/>
          </w:tcPr>
          <w:p w14:paraId="5CB93C1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Urządzenie </w:t>
            </w:r>
          </w:p>
          <w:p w14:paraId="1583E20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klimatyzacyjne </w:t>
            </w:r>
          </w:p>
          <w:p w14:paraId="7F82E8B3"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kabiny kierowcy </w:t>
            </w:r>
          </w:p>
          <w:p w14:paraId="5C262A24"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 przestrzeni</w:t>
            </w:r>
          </w:p>
          <w:p w14:paraId="3F2B7E8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pasażerskiej</w:t>
            </w:r>
          </w:p>
        </w:tc>
        <w:tc>
          <w:tcPr>
            <w:tcW w:w="7588" w:type="dxa"/>
          </w:tcPr>
          <w:p w14:paraId="71F4E1C3"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urządzenie zamontowane na dachu autobusu, elektryczne</w:t>
            </w:r>
            <w:r w:rsidRPr="00744967">
              <w:rPr>
                <w:rFonts w:ascii="Cambria" w:eastAsia="Times New Roman" w:hAnsi="Cambria" w:cs="Times New Roman"/>
                <w:lang w:eastAsia="pl-PL"/>
              </w:rPr>
              <w:t>;</w:t>
            </w:r>
          </w:p>
          <w:p w14:paraId="5A85EFBF" w14:textId="77777777" w:rsidR="00D06029" w:rsidRPr="00744967" w:rsidRDefault="00D06029" w:rsidP="00D06029">
            <w:pPr>
              <w:numPr>
                <w:ilvl w:val="0"/>
                <w:numId w:val="5"/>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4B609B"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69C5FB90"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posiadające funkcję chłodzenia i ogrzewania;</w:t>
            </w:r>
          </w:p>
          <w:p w14:paraId="6B50BAAC"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13163FE3"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579DB46A"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pracy w trybie samej wentylacji przestrzeni pasażerskiej;</w:t>
            </w:r>
          </w:p>
          <w:p w14:paraId="581F35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zapewniający skuteczną klimatyzację w tym odwilżanie przestrzeni pasażerskiej;</w:t>
            </w:r>
          </w:p>
          <w:p w14:paraId="404AC3EC"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wyłączenia w trybie specjalnym pracy klimatyzacji wyłącznie w przestrzeni pasażerskiej;</w:t>
            </w:r>
          </w:p>
          <w:p w14:paraId="0F4B0F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przełączenia w trybie specjalnym</w:t>
            </w:r>
            <w:r w:rsidRPr="00744967">
              <w:rPr>
                <w:rStyle w:val="Odwoanieprzypisudolnego"/>
                <w:rFonts w:ascii="Cambria" w:eastAsia="Times New Roman" w:hAnsi="Cambria" w:cs="Times New Roman"/>
                <w:szCs w:val="20"/>
                <w:lang w:eastAsia="pl-PL"/>
              </w:rPr>
              <w:footnoteReference w:id="10"/>
            </w:r>
            <w:r w:rsidRPr="00744967">
              <w:rPr>
                <w:rFonts w:ascii="Cambria" w:eastAsia="Times New Roman" w:hAnsi="Cambria" w:cs="Times New Roman"/>
                <w:szCs w:val="20"/>
                <w:lang w:eastAsia="pl-PL"/>
              </w:rPr>
              <w:t xml:space="preserve"> pracy klimatyzacji na pobieranie powietrza z zewnątrz pojazdu;</w:t>
            </w:r>
          </w:p>
          <w:p w14:paraId="4D94CDE9"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moc chłodzenia </w:t>
            </w:r>
            <w:r w:rsidRPr="00744967">
              <w:rPr>
                <w:rFonts w:ascii="Cambria" w:eastAsia="Times New Roman" w:hAnsi="Cambria" w:cs="Times New Roman"/>
                <w:lang w:eastAsia="pl-PL"/>
              </w:rPr>
              <w:t>wystarczająca dla spełnienia wymagań dotyczących komfortu termicznego określonych w wytycznych 236 VDV</w:t>
            </w:r>
            <w:r w:rsidRPr="00744967">
              <w:rPr>
                <w:rFonts w:ascii="Cambria" w:eastAsia="Times New Roman" w:hAnsi="Cambria" w:cs="Times New Roman"/>
                <w:szCs w:val="20"/>
                <w:lang w:eastAsia="pl-PL"/>
              </w:rPr>
              <w:t xml:space="preserve">; </w:t>
            </w:r>
            <w:r w:rsidRPr="00744967">
              <w:rPr>
                <w:rFonts w:ascii="Cambria" w:eastAsia="Times New Roman" w:hAnsi="Cambria" w:cs="Times New Roman"/>
                <w:lang w:eastAsia="pl-PL"/>
              </w:rPr>
              <w:t xml:space="preserve">temperatura w przestrzeni pasażerskiej wg przebiegu krzywej ekonomicznej dla autobusów klasy 1 (miejskich); </w:t>
            </w:r>
          </w:p>
          <w:p w14:paraId="60AC3E4E" w14:textId="77777777" w:rsidR="00D06029" w:rsidRPr="00744967" w:rsidRDefault="00D06029" w:rsidP="00D06029">
            <w:pPr>
              <w:numPr>
                <w:ilvl w:val="0"/>
                <w:numId w:val="5"/>
              </w:num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4ADF2E4C" w14:textId="77777777" w:rsidR="00D06029" w:rsidRPr="00744967" w:rsidRDefault="00D06029" w:rsidP="00D06029">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DB7B25" w:rsidRPr="00744967" w14:paraId="083354D2" w14:textId="77777777" w:rsidTr="00DC1718">
              <w:trPr>
                <w:jc w:val="center"/>
              </w:trPr>
              <w:tc>
                <w:tcPr>
                  <w:tcW w:w="1422" w:type="dxa"/>
                  <w:shd w:val="clear" w:color="auto" w:fill="auto"/>
                  <w:vAlign w:val="center"/>
                </w:tcPr>
                <w:p w14:paraId="6EFFEC0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zewnętrzna</w:t>
                  </w:r>
                </w:p>
              </w:tc>
              <w:tc>
                <w:tcPr>
                  <w:tcW w:w="2689" w:type="dxa"/>
                  <w:shd w:val="clear" w:color="auto" w:fill="auto"/>
                  <w:vAlign w:val="center"/>
                </w:tcPr>
                <w:p w14:paraId="6B0EC14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018A611"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podstawowe</w:t>
                  </w:r>
                </w:p>
              </w:tc>
              <w:tc>
                <w:tcPr>
                  <w:tcW w:w="1990" w:type="dxa"/>
                  <w:shd w:val="clear" w:color="auto" w:fill="auto"/>
                  <w:vAlign w:val="center"/>
                </w:tcPr>
                <w:p w14:paraId="3CA7B0B8"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współpracujące</w:t>
                  </w:r>
                </w:p>
              </w:tc>
            </w:tr>
            <w:tr w:rsidR="00DB7B25" w:rsidRPr="00744967" w14:paraId="68F9D5D7" w14:textId="77777777" w:rsidTr="00DC1718">
              <w:trPr>
                <w:jc w:val="center"/>
              </w:trPr>
              <w:tc>
                <w:tcPr>
                  <w:tcW w:w="1422" w:type="dxa"/>
                  <w:shd w:val="clear" w:color="auto" w:fill="auto"/>
                  <w:vAlign w:val="center"/>
                </w:tcPr>
                <w:p w14:paraId="3449A4D4"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≤-20°C</w:t>
                  </w:r>
                </w:p>
              </w:tc>
              <w:tc>
                <w:tcPr>
                  <w:tcW w:w="2689" w:type="dxa"/>
                  <w:shd w:val="clear" w:color="auto" w:fill="auto"/>
                  <w:vAlign w:val="center"/>
                </w:tcPr>
                <w:p w14:paraId="084516C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7°C </w:t>
                  </w:r>
                  <w:r w:rsidRPr="00744967">
                    <w:rPr>
                      <w:rFonts w:ascii="Cambria" w:eastAsia="Calibri" w:hAnsi="Cambria" w:cs="Arial"/>
                      <w:sz w:val="20"/>
                      <w:szCs w:val="20"/>
                    </w:rPr>
                    <w:t>(±2˚C)</w:t>
                  </w:r>
                </w:p>
              </w:tc>
              <w:tc>
                <w:tcPr>
                  <w:tcW w:w="1554" w:type="dxa"/>
                  <w:shd w:val="clear" w:color="auto" w:fill="auto"/>
                  <w:vAlign w:val="center"/>
                </w:tcPr>
                <w:p w14:paraId="5D86DDB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9F50CD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A577F43" w14:textId="77777777" w:rsidTr="00DC1718">
              <w:trPr>
                <w:jc w:val="center"/>
              </w:trPr>
              <w:tc>
                <w:tcPr>
                  <w:tcW w:w="1422" w:type="dxa"/>
                  <w:shd w:val="clear" w:color="auto" w:fill="auto"/>
                  <w:vAlign w:val="center"/>
                </w:tcPr>
                <w:p w14:paraId="538D751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-19,9°C do</w:t>
                  </w:r>
                </w:p>
                <w:p w14:paraId="74D2DBD5"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-11°C</w:t>
                  </w:r>
                </w:p>
              </w:tc>
              <w:tc>
                <w:tcPr>
                  <w:tcW w:w="2689" w:type="dxa"/>
                  <w:shd w:val="clear" w:color="auto" w:fill="auto"/>
                  <w:vAlign w:val="center"/>
                </w:tcPr>
                <w:p w14:paraId="584875B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podwyższona o 27°C w stosunku do temp. zewn. </w:t>
                  </w:r>
                  <w:r w:rsidRPr="00744967">
                    <w:rPr>
                      <w:rFonts w:ascii="Cambria" w:eastAsia="Calibri" w:hAnsi="Cambria" w:cs="Arial"/>
                      <w:sz w:val="20"/>
                      <w:szCs w:val="20"/>
                    </w:rPr>
                    <w:t>(+2˚C/-3˚C)</w:t>
                  </w:r>
                </w:p>
              </w:tc>
              <w:tc>
                <w:tcPr>
                  <w:tcW w:w="1554" w:type="dxa"/>
                  <w:shd w:val="clear" w:color="auto" w:fill="auto"/>
                  <w:vAlign w:val="center"/>
                </w:tcPr>
                <w:p w14:paraId="6ED8A0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078CA9B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B30268C" w14:textId="77777777" w:rsidTr="00DC1718">
              <w:trPr>
                <w:jc w:val="center"/>
              </w:trPr>
              <w:tc>
                <w:tcPr>
                  <w:tcW w:w="1422" w:type="dxa"/>
                  <w:shd w:val="clear" w:color="auto" w:fill="auto"/>
                  <w:vAlign w:val="center"/>
                </w:tcPr>
                <w:p w14:paraId="49BA0681"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lastRenderedPageBreak/>
                    <w:t>-10,9°C do 16,9°C</w:t>
                  </w:r>
                </w:p>
              </w:tc>
              <w:tc>
                <w:tcPr>
                  <w:tcW w:w="2689" w:type="dxa"/>
                  <w:shd w:val="clear" w:color="auto" w:fill="auto"/>
                  <w:vAlign w:val="center"/>
                </w:tcPr>
                <w:p w14:paraId="0098628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w:t>
                  </w:r>
                  <w:r w:rsidRPr="00744967">
                    <w:rPr>
                      <w:rFonts w:ascii="Cambria" w:eastAsia="Calibri" w:hAnsi="Cambria" w:cs="Arial"/>
                      <w:sz w:val="20"/>
                      <w:szCs w:val="20"/>
                    </w:rPr>
                    <w:t xml:space="preserve"> (+3˚C/-2˚C)</w:t>
                  </w:r>
                </w:p>
              </w:tc>
              <w:tc>
                <w:tcPr>
                  <w:tcW w:w="1554" w:type="dxa"/>
                  <w:shd w:val="clear" w:color="auto" w:fill="auto"/>
                  <w:vAlign w:val="center"/>
                </w:tcPr>
                <w:p w14:paraId="71096CF9"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1A67DA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24E1785C" w14:textId="77777777" w:rsidTr="00DC1718">
              <w:trPr>
                <w:jc w:val="center"/>
              </w:trPr>
              <w:tc>
                <w:tcPr>
                  <w:tcW w:w="1422" w:type="dxa"/>
                  <w:shd w:val="clear" w:color="auto" w:fill="auto"/>
                  <w:vAlign w:val="center"/>
                </w:tcPr>
                <w:p w14:paraId="4143946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 do 21°C</w:t>
                  </w:r>
                </w:p>
              </w:tc>
              <w:tc>
                <w:tcPr>
                  <w:tcW w:w="2689" w:type="dxa"/>
                  <w:shd w:val="clear" w:color="auto" w:fill="auto"/>
                  <w:vAlign w:val="center"/>
                </w:tcPr>
                <w:p w14:paraId="58A0776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 temperaturze zewnętrznej °C </w:t>
                  </w:r>
                  <w:r w:rsidRPr="00744967">
                    <w:rPr>
                      <w:rFonts w:ascii="Cambria" w:eastAsia="Calibri" w:hAnsi="Cambria" w:cs="Arial"/>
                      <w:sz w:val="20"/>
                      <w:szCs w:val="20"/>
                    </w:rPr>
                    <w:t>(±2°C)</w:t>
                  </w:r>
                </w:p>
              </w:tc>
              <w:tc>
                <w:tcPr>
                  <w:tcW w:w="1554" w:type="dxa"/>
                  <w:shd w:val="clear" w:color="auto" w:fill="auto"/>
                  <w:vAlign w:val="center"/>
                </w:tcPr>
                <w:p w14:paraId="1F11714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c>
                <w:tcPr>
                  <w:tcW w:w="1990" w:type="dxa"/>
                  <w:shd w:val="clear" w:color="auto" w:fill="auto"/>
                  <w:vAlign w:val="center"/>
                </w:tcPr>
                <w:p w14:paraId="7B346A5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r>
            <w:tr w:rsidR="00DB7B25" w:rsidRPr="00744967" w14:paraId="2F3F530F" w14:textId="77777777" w:rsidTr="00DC1718">
              <w:trPr>
                <w:jc w:val="center"/>
              </w:trPr>
              <w:tc>
                <w:tcPr>
                  <w:tcW w:w="1422" w:type="dxa"/>
                  <w:shd w:val="clear" w:color="auto" w:fill="auto"/>
                  <w:vAlign w:val="center"/>
                </w:tcPr>
                <w:p w14:paraId="78D31D9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21,1°C do 26°C</w:t>
                  </w:r>
                </w:p>
              </w:tc>
              <w:tc>
                <w:tcPr>
                  <w:tcW w:w="2689" w:type="dxa"/>
                  <w:shd w:val="clear" w:color="auto" w:fill="auto"/>
                  <w:vAlign w:val="center"/>
                </w:tcPr>
                <w:p w14:paraId="5622FE39"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22°C </w:t>
                  </w:r>
                  <w:r w:rsidRPr="00744967">
                    <w:rPr>
                      <w:rFonts w:ascii="Cambria" w:eastAsia="Calibri" w:hAnsi="Cambria" w:cs="Arial"/>
                      <w:sz w:val="20"/>
                      <w:szCs w:val="20"/>
                    </w:rPr>
                    <w:t>(+1/-2°C)</w:t>
                  </w:r>
                </w:p>
              </w:tc>
              <w:tc>
                <w:tcPr>
                  <w:tcW w:w="1554" w:type="dxa"/>
                  <w:shd w:val="clear" w:color="auto" w:fill="auto"/>
                  <w:vAlign w:val="center"/>
                </w:tcPr>
                <w:p w14:paraId="177FBEE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ACC6B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FB7D9B8" w14:textId="77777777" w:rsidTr="00DC1718">
              <w:trPr>
                <w:jc w:val="center"/>
              </w:trPr>
              <w:tc>
                <w:tcPr>
                  <w:tcW w:w="1422" w:type="dxa"/>
                  <w:shd w:val="clear" w:color="auto" w:fill="auto"/>
                  <w:vAlign w:val="center"/>
                </w:tcPr>
                <w:p w14:paraId="2B62277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26,1°C do 29°C</w:t>
                  </w:r>
                </w:p>
              </w:tc>
              <w:tc>
                <w:tcPr>
                  <w:tcW w:w="2689" w:type="dxa"/>
                  <w:shd w:val="clear" w:color="auto" w:fill="auto"/>
                  <w:vAlign w:val="center"/>
                </w:tcPr>
                <w:p w14:paraId="6F91B35C"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4°C w stosunku do temp. zewn. </w:t>
                  </w:r>
                  <w:r w:rsidRPr="00744967">
                    <w:rPr>
                      <w:rFonts w:ascii="Cambria" w:eastAsia="Calibri" w:hAnsi="Cambria" w:cs="Arial"/>
                      <w:sz w:val="20"/>
                      <w:szCs w:val="20"/>
                    </w:rPr>
                    <w:t>(+1˚C/-3˚C)</w:t>
                  </w:r>
                </w:p>
              </w:tc>
              <w:tc>
                <w:tcPr>
                  <w:tcW w:w="1554" w:type="dxa"/>
                  <w:shd w:val="clear" w:color="auto" w:fill="auto"/>
                  <w:vAlign w:val="center"/>
                </w:tcPr>
                <w:p w14:paraId="439ABF2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2A49A15"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0ECA7A1" w14:textId="77777777" w:rsidTr="00DC1718">
              <w:trPr>
                <w:jc w:val="center"/>
              </w:trPr>
              <w:tc>
                <w:tcPr>
                  <w:tcW w:w="1422" w:type="dxa"/>
                  <w:shd w:val="clear" w:color="auto" w:fill="auto"/>
                  <w:vAlign w:val="center"/>
                </w:tcPr>
                <w:p w14:paraId="6B28234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29,1°C do 29,9°C</w:t>
                  </w:r>
                </w:p>
              </w:tc>
              <w:tc>
                <w:tcPr>
                  <w:tcW w:w="2689" w:type="dxa"/>
                  <w:shd w:val="clear" w:color="auto" w:fill="auto"/>
                  <w:vAlign w:val="center"/>
                </w:tcPr>
                <w:p w14:paraId="7DDD9CC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25°C </w:t>
                  </w:r>
                  <w:r w:rsidRPr="00744967">
                    <w:rPr>
                      <w:rFonts w:ascii="Cambria" w:eastAsia="Calibri" w:hAnsi="Cambria" w:cs="Arial"/>
                      <w:sz w:val="20"/>
                      <w:szCs w:val="20"/>
                    </w:rPr>
                    <w:t>(+1/-3°C)</w:t>
                  </w:r>
                </w:p>
              </w:tc>
              <w:tc>
                <w:tcPr>
                  <w:tcW w:w="1554" w:type="dxa"/>
                  <w:shd w:val="clear" w:color="auto" w:fill="auto"/>
                  <w:vAlign w:val="center"/>
                </w:tcPr>
                <w:p w14:paraId="39D362A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D7D09C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E4B7501" w14:textId="77777777" w:rsidTr="00DC1718">
              <w:trPr>
                <w:jc w:val="center"/>
              </w:trPr>
              <w:tc>
                <w:tcPr>
                  <w:tcW w:w="1422" w:type="dxa"/>
                  <w:shd w:val="clear" w:color="auto" w:fill="auto"/>
                  <w:vAlign w:val="center"/>
                </w:tcPr>
                <w:p w14:paraId="51E7960B"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30°C do 34°C</w:t>
                  </w:r>
                </w:p>
              </w:tc>
              <w:tc>
                <w:tcPr>
                  <w:tcW w:w="2689" w:type="dxa"/>
                  <w:shd w:val="clear" w:color="auto" w:fill="auto"/>
                  <w:vAlign w:val="center"/>
                </w:tcPr>
                <w:p w14:paraId="3C73F39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5°C w stosunku do temp. zewn. </w:t>
                  </w:r>
                  <w:r w:rsidRPr="00744967">
                    <w:rPr>
                      <w:rFonts w:ascii="Cambria" w:eastAsia="Calibri" w:hAnsi="Cambria" w:cs="Arial"/>
                      <w:sz w:val="20"/>
                      <w:szCs w:val="20"/>
                    </w:rPr>
                    <w:t>(+1˚C/-3˚C)</w:t>
                  </w:r>
                </w:p>
              </w:tc>
              <w:tc>
                <w:tcPr>
                  <w:tcW w:w="1554" w:type="dxa"/>
                  <w:shd w:val="clear" w:color="auto" w:fill="auto"/>
                  <w:vAlign w:val="center"/>
                </w:tcPr>
                <w:p w14:paraId="4753FE22"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C492C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7779D513" w14:textId="77777777" w:rsidTr="00DC1718">
              <w:trPr>
                <w:jc w:val="center"/>
              </w:trPr>
              <w:tc>
                <w:tcPr>
                  <w:tcW w:w="1422" w:type="dxa"/>
                  <w:shd w:val="clear" w:color="auto" w:fill="auto"/>
                  <w:vAlign w:val="center"/>
                </w:tcPr>
                <w:p w14:paraId="4FD462E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34,1°C do 34,9°C</w:t>
                  </w:r>
                </w:p>
              </w:tc>
              <w:tc>
                <w:tcPr>
                  <w:tcW w:w="2689" w:type="dxa"/>
                  <w:shd w:val="clear" w:color="auto" w:fill="auto"/>
                  <w:vAlign w:val="center"/>
                </w:tcPr>
                <w:p w14:paraId="21E42DD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29°C </w:t>
                  </w:r>
                  <w:r w:rsidRPr="00744967">
                    <w:rPr>
                      <w:rFonts w:ascii="Cambria" w:eastAsia="Calibri" w:hAnsi="Cambria" w:cs="Arial"/>
                      <w:sz w:val="20"/>
                      <w:szCs w:val="20"/>
                    </w:rPr>
                    <w:t>(+1/-3°C)</w:t>
                  </w:r>
                </w:p>
              </w:tc>
              <w:tc>
                <w:tcPr>
                  <w:tcW w:w="1554" w:type="dxa"/>
                  <w:shd w:val="clear" w:color="auto" w:fill="auto"/>
                  <w:vAlign w:val="center"/>
                </w:tcPr>
                <w:p w14:paraId="49BE46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3B1CFB3"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D93FB39" w14:textId="77777777" w:rsidTr="00DC1718">
              <w:trPr>
                <w:jc w:val="center"/>
              </w:trPr>
              <w:tc>
                <w:tcPr>
                  <w:tcW w:w="1422" w:type="dxa"/>
                  <w:shd w:val="clear" w:color="auto" w:fill="auto"/>
                  <w:vAlign w:val="center"/>
                </w:tcPr>
                <w:p w14:paraId="17F02BF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&gt;=35°C</w:t>
                  </w:r>
                </w:p>
              </w:tc>
              <w:tc>
                <w:tcPr>
                  <w:tcW w:w="2689" w:type="dxa"/>
                  <w:shd w:val="clear" w:color="auto" w:fill="auto"/>
                  <w:vAlign w:val="center"/>
                </w:tcPr>
                <w:p w14:paraId="73D2A81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6°C w stosunku do temp. zewn. </w:t>
                  </w:r>
                  <w:r w:rsidRPr="00744967">
                    <w:rPr>
                      <w:rFonts w:ascii="Cambria" w:eastAsia="Calibri" w:hAnsi="Cambria" w:cs="Arial"/>
                      <w:sz w:val="20"/>
                      <w:szCs w:val="20"/>
                    </w:rPr>
                    <w:t>(+1˚C/-3˚C)</w:t>
                  </w:r>
                </w:p>
              </w:tc>
              <w:tc>
                <w:tcPr>
                  <w:tcW w:w="1554" w:type="dxa"/>
                  <w:shd w:val="clear" w:color="auto" w:fill="auto"/>
                  <w:vAlign w:val="center"/>
                </w:tcPr>
                <w:p w14:paraId="7386AD7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0BA13B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bl>
          <w:p w14:paraId="41199113" w14:textId="77777777" w:rsidR="00D06029" w:rsidRPr="00744967" w:rsidRDefault="00D06029" w:rsidP="00D06029">
            <w:pPr>
              <w:spacing w:after="0" w:line="240" w:lineRule="auto"/>
              <w:rPr>
                <w:rFonts w:ascii="Cambria" w:eastAsia="Times New Roman" w:hAnsi="Cambria" w:cs="Times New Roman"/>
                <w:szCs w:val="20"/>
                <w:lang w:eastAsia="pl-PL"/>
              </w:rPr>
            </w:pPr>
          </w:p>
          <w:p w14:paraId="0CDF57CD" w14:textId="037AB146"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p>
          <w:p w14:paraId="6F381B67"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warunki pomiaru temperatury </w:t>
            </w:r>
            <w:r w:rsidRPr="00744967">
              <w:rPr>
                <w:rFonts w:ascii="Cambria" w:eastAsia="Times New Roman" w:hAnsi="Cambria" w:cs="Times New Roman"/>
                <w:lang w:eastAsia="pl-PL"/>
              </w:rPr>
              <w:t>w przestrzeni pasażerskiej</w:t>
            </w:r>
            <w:r w:rsidRPr="00744967">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 °C;</w:t>
            </w:r>
          </w:p>
          <w:p w14:paraId="568026A4"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0D5754E5"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595417A8" w14:textId="6A609D92" w:rsidR="00D06029" w:rsidRPr="00744967" w:rsidRDefault="00D06029" w:rsidP="00D06029">
            <w:pPr>
              <w:numPr>
                <w:ilvl w:val="0"/>
                <w:numId w:val="5"/>
              </w:numPr>
              <w:spacing w:after="0" w:line="240" w:lineRule="auto"/>
              <w:ind w:left="283" w:hanging="283"/>
              <w:rPr>
                <w:rFonts w:ascii="Cambria" w:eastAsia="Times New Roman" w:hAnsi="Cambria" w:cs="Times New Roman"/>
                <w:strike/>
                <w:szCs w:val="20"/>
                <w:lang w:eastAsia="pl-PL"/>
              </w:rPr>
            </w:pPr>
            <w:r w:rsidRPr="00744967">
              <w:rPr>
                <w:rFonts w:ascii="Cambria" w:eastAsia="Times New Roman" w:hAnsi="Cambria" w:cs="Times New Roman"/>
                <w:szCs w:val="20"/>
                <w:lang w:eastAsia="pl-PL"/>
              </w:rPr>
              <w:t>zalecane zastosowanie filtra powietrza urządzenia klimatyzacyjnego centralnego, wielokrotnego użycia, np. metalowego;</w:t>
            </w:r>
          </w:p>
        </w:tc>
      </w:tr>
      <w:tr w:rsidR="00DB7B25" w:rsidRPr="00744967" w14:paraId="6F85A2E9" w14:textId="77777777" w:rsidTr="001C684D">
        <w:tc>
          <w:tcPr>
            <w:tcW w:w="379" w:type="dxa"/>
          </w:tcPr>
          <w:p w14:paraId="005BDD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elektryczny</w:t>
            </w:r>
          </w:p>
        </w:tc>
        <w:tc>
          <w:tcPr>
            <w:tcW w:w="7588" w:type="dxa"/>
          </w:tcPr>
          <w:p w14:paraId="15F1E78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7C4B674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73C4FA3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szczelny, złącza elektryczne i wiązki przewodów zabezpieczone przed wilgocią;</w:t>
            </w:r>
          </w:p>
          <w:p w14:paraId="66BFBC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tablica elektrotechniczna umieszczona w przestrzeni pasażerskiej – zalecane umieszczenie za kabiną kierowcy lub w części sufitowej obok kabiny kierowcy (dopuszcza się umieszczenie pod klapą montażową z lewej strony </w:t>
            </w:r>
            <w:r w:rsidRPr="00744967">
              <w:rPr>
                <w:rFonts w:ascii="Cambria" w:eastAsia="Times New Roman" w:hAnsi="Cambria" w:cs="Times New Roman"/>
                <w:szCs w:val="20"/>
                <w:lang w:eastAsia="pl-PL"/>
              </w:rPr>
              <w:lastRenderedPageBreak/>
              <w:t>obok kabiny kierowcy, dopuszcza się również rozlokowanie tablic technicznych w całym autobusie, z zachowaniem swobodnego dostępu do urządzeń); wyposażona w opis funkcyjny bezpieczników i przekaźników;</w:t>
            </w:r>
          </w:p>
          <w:p w14:paraId="64A07DE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bezpieczniki w instalacji elektrycznej </w:t>
            </w:r>
            <w:r w:rsidRPr="00744967">
              <w:rPr>
                <w:rFonts w:ascii="Cambria" w:eastAsia="Times New Roman" w:hAnsi="Cambria" w:cs="Times New Roman"/>
                <w:lang w:eastAsia="pl-PL"/>
              </w:rPr>
              <w:t>zabezpieczające obwody o poborze prądu do 30A,</w:t>
            </w:r>
            <w:r w:rsidRPr="00744967">
              <w:rPr>
                <w:rFonts w:ascii="Cambria" w:eastAsia="Times New Roman" w:hAnsi="Cambria" w:cs="Times New Roman"/>
                <w:szCs w:val="20"/>
                <w:lang w:eastAsia="pl-PL"/>
              </w:rPr>
              <w:t xml:space="preserve"> wyłącznie automatyczne;</w:t>
            </w:r>
          </w:p>
          <w:p w14:paraId="7C0BBB5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elektroniczne urządzenia sterujące umiejscowione w sposób umożliwiający diagnozowanie podczas jazdy autobusem; </w:t>
            </w:r>
          </w:p>
          <w:p w14:paraId="691E2AE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4,5”</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744967">
              <w:rPr>
                <w:rFonts w:ascii="Cambria" w:eastAsia="Times New Roman" w:hAnsi="Cambria" w:cs="Times New Roman"/>
                <w:szCs w:val="20"/>
                <w:lang w:eastAsia="pl-PL"/>
              </w:rPr>
              <w:t xml:space="preserve"> </w:t>
            </w:r>
          </w:p>
          <w:p w14:paraId="4560D25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2E71EEB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63E04C5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2EDD2EE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765CF5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dodatkowe światło „STOP” kategorii S3 lub w dwa dodatkowe światła „STOP” górne, kategorii S1 lub S2;</w:t>
            </w:r>
          </w:p>
          <w:p w14:paraId="67341E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dwa dodatkowe światła kierunkowskazów, tylne górne</w:t>
            </w:r>
          </w:p>
          <w:p w14:paraId="5592FF0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oświetlenie zewnętrzne autobusu wykonane przy maksymalnym wykorzystaniu technologii LED;  </w:t>
            </w:r>
          </w:p>
          <w:p w14:paraId="034D96D8"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w:t>
            </w:r>
            <w:r w:rsidRPr="00744967">
              <w:rPr>
                <w:rFonts w:ascii="Cambria" w:eastAsia="Times New Roman" w:hAnsi="Cambria" w:cs="Times New Roman"/>
                <w:szCs w:val="20"/>
                <w:lang w:eastAsia="pl-PL"/>
              </w:rPr>
              <w:lastRenderedPageBreak/>
              <w:t>dopuszczalne jest odsunięcie lamp względem osi drzwi nie dalej niż 250 mm); lampy drzwi przednich umieszczone w zagłębieniu lub posiadająca odpowiednią osłonę (nie powodująca oślepiania kierowcy bezpośrednio lub przez lusterka wewnętrzne);</w:t>
            </w:r>
          </w:p>
          <w:p w14:paraId="52A088E7"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uszkodzenia mechaniczne np. w wyfrezowanym otworze pod progiem drzwi niepowodującym osłabienia konstrukcji podłogi;</w:t>
            </w:r>
          </w:p>
          <w:p w14:paraId="73B0D4B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61DE7129"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2DA820B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DB7B25" w:rsidRPr="00744967" w14:paraId="3F2CDAB9" w14:textId="77777777" w:rsidTr="001C684D">
        <w:tc>
          <w:tcPr>
            <w:tcW w:w="379" w:type="dxa"/>
          </w:tcPr>
          <w:p w14:paraId="74C7C71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Pochylnia (rampa) dla wózka inwalidzkiego</w:t>
            </w:r>
          </w:p>
        </w:tc>
        <w:tc>
          <w:tcPr>
            <w:tcW w:w="7588" w:type="dxa"/>
          </w:tcPr>
          <w:p w14:paraId="49B760D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spełniająca wymagania załącznika nr 8 do Regulaminu nr 107 EKG ONZ;</w:t>
            </w:r>
          </w:p>
          <w:p w14:paraId="1B0C0F0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8AA168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702E0FD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czujnik otwarcia z blokadą zamknięcia drzwi i informacją na wyświetlaczu kierowcy;</w:t>
            </w:r>
          </w:p>
          <w:p w14:paraId="4F7B104B" w14:textId="322318DB"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DB7B25" w:rsidRPr="00744967" w14:paraId="13D757C6" w14:textId="77777777" w:rsidTr="001C684D">
        <w:trPr>
          <w:cantSplit/>
        </w:trPr>
        <w:tc>
          <w:tcPr>
            <w:tcW w:w="379" w:type="dxa"/>
          </w:tcPr>
          <w:p w14:paraId="36CFBE0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Schowki</w:t>
            </w:r>
          </w:p>
          <w:p w14:paraId="5AB8FB30" w14:textId="4E46D0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montażowe</w:t>
            </w:r>
          </w:p>
        </w:tc>
        <w:tc>
          <w:tcPr>
            <w:tcW w:w="7588" w:type="dxa"/>
          </w:tcPr>
          <w:p w14:paraId="6C9AFC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obsługowych oraz klapy komory silnika zewnętrzne mocowane do nadwozia na zawiasach oraz:</w:t>
            </w:r>
          </w:p>
          <w:p w14:paraId="10E5BE7B"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 </w:t>
            </w:r>
          </w:p>
          <w:p w14:paraId="58C938F1"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otwierane na bok – kąt otwarcia co najmniej 90°</w:t>
            </w:r>
          </w:p>
          <w:p w14:paraId="3A9A619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zamykane (otwierane) jednym kluczem, np. typu „kwadrat”</w:t>
            </w:r>
          </w:p>
          <w:p w14:paraId="15059FFD" w14:textId="4F9F0193"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DB7B25" w:rsidRPr="00744967" w14:paraId="45CEF45F" w14:textId="77777777" w:rsidTr="001C684D">
        <w:trPr>
          <w:cantSplit/>
        </w:trPr>
        <w:tc>
          <w:tcPr>
            <w:tcW w:w="379" w:type="dxa"/>
          </w:tcPr>
          <w:p w14:paraId="474EF68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Automatyczny system centralnego smarowania</w:t>
            </w:r>
          </w:p>
        </w:tc>
        <w:tc>
          <w:tcPr>
            <w:tcW w:w="7588" w:type="dxa"/>
          </w:tcPr>
          <w:p w14:paraId="4A1309D3"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dostosowanie do smaru klasy NLGI 2;</w:t>
            </w:r>
          </w:p>
          <w:p w14:paraId="576CCA01"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obejmujący wszystkie punkty smarowania podwozia, bez wału napędowego;</w:t>
            </w:r>
          </w:p>
          <w:p w14:paraId="038E66DA"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system autodiagnozy;</w:t>
            </w:r>
          </w:p>
          <w:p w14:paraId="47489027" w14:textId="090C6E8C"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wykonanie bezobsługowe podwozia – bez punktów smarnych;</w:t>
            </w:r>
          </w:p>
        </w:tc>
      </w:tr>
      <w:tr w:rsidR="00DB7B25" w:rsidRPr="00744967" w14:paraId="6B650590" w14:textId="77777777" w:rsidTr="001C684D">
        <w:tc>
          <w:tcPr>
            <w:tcW w:w="379" w:type="dxa"/>
          </w:tcPr>
          <w:p w14:paraId="2F81AFF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Drzwi pasażerskie</w:t>
            </w:r>
          </w:p>
        </w:tc>
        <w:tc>
          <w:tcPr>
            <w:tcW w:w="7588" w:type="dxa"/>
          </w:tcPr>
          <w:p w14:paraId="52053330"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C89900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744967">
              <w:rPr>
                <w:rFonts w:ascii="Cambria" w:eastAsia="Times New Roman" w:hAnsi="Cambria" w:cs="Times New Roman"/>
                <w:lang w:eastAsia="pl-PL"/>
              </w:rPr>
              <w:t>bez ścianki działowej przy drzwiach po stronie tego wyznaczonego miejsca</w:t>
            </w:r>
            <w:r w:rsidRPr="00744967">
              <w:rPr>
                <w:rFonts w:ascii="Cambria" w:eastAsia="Times New Roman" w:hAnsi="Cambria" w:cs="Times New Roman"/>
                <w:szCs w:val="20"/>
                <w:lang w:eastAsia="pl-PL"/>
              </w:rPr>
              <w:t>;</w:t>
            </w:r>
            <w:r w:rsidRPr="00744967">
              <w:rPr>
                <w:rFonts w:ascii="Cambria" w:eastAsia="Times New Roman" w:hAnsi="Cambria" w:cs="Times New Roman"/>
                <w:lang w:eastAsia="pl-PL"/>
              </w:rPr>
              <w:t xml:space="preserve"> </w:t>
            </w:r>
          </w:p>
          <w:p w14:paraId="3467435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50F53E54" w14:textId="788F68E6"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DB7B25" w:rsidRPr="00744967" w14:paraId="75D206DD" w14:textId="77777777" w:rsidTr="001C684D">
        <w:tc>
          <w:tcPr>
            <w:tcW w:w="379" w:type="dxa"/>
          </w:tcPr>
          <w:p w14:paraId="1D93587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drzwiami pasażerskimi</w:t>
            </w:r>
          </w:p>
        </w:tc>
        <w:tc>
          <w:tcPr>
            <w:tcW w:w="7588" w:type="dxa"/>
          </w:tcPr>
          <w:p w14:paraId="30B828E8" w14:textId="77777777" w:rsidR="00D06029" w:rsidRPr="00744967" w:rsidRDefault="00D06029" w:rsidP="00D06029">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sterowania:</w:t>
            </w:r>
          </w:p>
          <w:p w14:paraId="24060EB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wymagania Załącznika nr 3 do Regulaminu nr 107 EKG ONZ;</w:t>
            </w:r>
          </w:p>
          <w:p w14:paraId="17706D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p>
          <w:p w14:paraId="4F1D50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329F72F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wyposażony w dodatkowy przycisk na desce rozdzielczej umożliwiający otwarcie oraz zamknięcie wszystkich drzwi jednocześnie – użycie przycisku powoduje otwarcie wszystkich drzwi lub zamknięcie drzwi otwartych w danym momencie; </w:t>
            </w:r>
          </w:p>
          <w:p w14:paraId="2A096B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467C78E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3036C11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posiadający wykonaną blokadę awaryjnego otwarcia drzwi przy prędkości większej niż 3 ÷ 5 km/h;</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F9A1EF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16A1D50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układ otwierania drzwi przez pasażerów aktywowany i dezaktywowany przez prowadzącego pojazd (UZO);</w:t>
            </w:r>
          </w:p>
          <w:p w14:paraId="597525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7E2BE0A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następnie ponowienie procedury automatycznego zamykania po upływie zdefiniowanego czasu;</w:t>
            </w:r>
          </w:p>
          <w:p w14:paraId="745597D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w trybie serwisowym zmiany czasu (wielkości opóźnienia), po którym następuje automatyczne zamknięcie drzwi;</w:t>
            </w:r>
          </w:p>
          <w:p w14:paraId="12AF100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stanu otwarcia/zamknięcia/awarii drzwi na desce rozdzielczej prowadzącego pojazd;</w:t>
            </w:r>
          </w:p>
          <w:p w14:paraId="610615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przyciski otwierania drzwi przez pasażerów umieszczone na zewnątrz i wewnątrz pojazdu; </w:t>
            </w:r>
          </w:p>
          <w:p w14:paraId="4165B59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powiadamiania o zamiarze zatrzymania umieszczone wewnątrz pojazdu;</w:t>
            </w:r>
          </w:p>
          <w:p w14:paraId="75F3F5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specjalne powiązane z dostępnością pojazdu;</w:t>
            </w:r>
          </w:p>
          <w:p w14:paraId="2B0F272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wyzwalane przez przyciski:</w:t>
            </w:r>
          </w:p>
          <w:p w14:paraId="7F5E3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S1÷S3 (Sx, gdzie x oznacza numer kolejnych drzwi) – sygnał potrzeby zatrzymania pojazdu;</w:t>
            </w:r>
          </w:p>
          <w:p w14:paraId="5B7C571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D1÷D3 (Dx, gdzie x oznacza numer kolejnych drzwi) – sygnał potrzeby otwarcia danych drzwi;</w:t>
            </w:r>
          </w:p>
          <w:p w14:paraId="4C252B9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WI – sygnał potrzeby użycia rampy dla wózka inwalidzkiego;</w:t>
            </w:r>
          </w:p>
          <w:p w14:paraId="49057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WD – sygnał-ostrzeżenie dla wysiadania osoby z wózkiem dziecięcym;</w:t>
            </w:r>
          </w:p>
          <w:p w14:paraId="72D93EE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IP – sygnał-ostrzeżenie dla wysiadania osoby z trudnościami w poruszaniu się;</w:t>
            </w:r>
          </w:p>
          <w:p w14:paraId="134F53D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IB – sygnał-ostrzeżenie dla wysiadania osoby niewidomej lub niedowidzącej; </w:t>
            </w:r>
          </w:p>
          <w:p w14:paraId="655098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IBZ – sygnał-ostrzeżenie od oczekującej osoby niewidomej lub niedowidzącej;</w:t>
            </w:r>
          </w:p>
          <w:p w14:paraId="5FF9489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IB oraz IBZ są sygnałami z tzw. przycisków wirtualnych, tj. nie są nadawane przez fizyczne przyciski w pojeździe.</w:t>
            </w:r>
          </w:p>
          <w:p w14:paraId="7961B9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SSD na desce prowadzącego pojazd:</w:t>
            </w:r>
          </w:p>
          <w:p w14:paraId="35112B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w:t>
            </w:r>
          </w:p>
          <w:p w14:paraId="6EADA5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KOZ1÷KOZ3 (KOZx, gdzie x oznacza numer kolejnych drzwi) – osobne przyciski otwierania/zamykania poszczególnych drzwi dla pasażerów;</w:t>
            </w:r>
          </w:p>
          <w:p w14:paraId="16A3E1A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KOZZ – osobny przycisk otwierania/zamykania wszystkich drzwi dla pasażerów, tzw. przycisk zbiorczy;</w:t>
            </w:r>
          </w:p>
          <w:p w14:paraId="2814FD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483F30E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KAUT – przycisk aktywacji/dezaktywacji automatyki zamykania drzwi (AUTO);</w:t>
            </w:r>
          </w:p>
          <w:p w14:paraId="3B42FE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desce rozmieszczone i zgrupowane w sposób ergonomiczny, tj. przyciski KOZ1÷KOZ3 i KOZZ zgrupowane obok siebie; przyciski KUZO i KAUT obok siebie; przycisk KOZK usytuowany niezależnie.</w:t>
            </w:r>
          </w:p>
          <w:p w14:paraId="1427A1D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na zewnątrz pojazdu:</w:t>
            </w:r>
          </w:p>
          <w:p w14:paraId="4F79A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ZO1÷ZO3 (ZOx, gdzie x oznacza numer kolejnych drzwi) – przyciski przyporządkowane funkcyjnie, tj. służące do otwierania tylko tych drzwi przy (lub na) których są umieszczone; </w:t>
            </w:r>
          </w:p>
          <w:p w14:paraId="0A2EBA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po uaktywnieniu przez prowadzącego pojazd układu otwierania drzwi przez pasażerów (UZO).</w:t>
            </w:r>
          </w:p>
          <w:p w14:paraId="3DC7CF0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przy drzwiach:</w:t>
            </w:r>
          </w:p>
          <w:p w14:paraId="355E20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lewej stronie;</w:t>
            </w:r>
          </w:p>
          <w:p w14:paraId="7722E9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11599BC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p>
          <w:p w14:paraId="35B9EF2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umieszczone bezpośrednio na skrzydłach drzwi:</w:t>
            </w:r>
          </w:p>
          <w:p w14:paraId="39182DB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lewym skrzydle drzwi;</w:t>
            </w:r>
          </w:p>
          <w:p w14:paraId="6F9EA6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prawym skrzydle drzwi.</w:t>
            </w:r>
          </w:p>
          <w:p w14:paraId="345592D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51EE686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42289A7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czerwony RAL 3020;</w:t>
            </w:r>
          </w:p>
          <w:p w14:paraId="2ABA15D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czerwony;</w:t>
            </w:r>
          </w:p>
          <w:p w14:paraId="3FE5318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oznaczone na przycisku wypukłym piktogramem w formie dwóch przeciwnie skierowanych strzałek „&lt; &gt;”;</w:t>
            </w:r>
          </w:p>
          <w:p w14:paraId="56A8C5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typu sensorycznego (dotykowe);</w:t>
            </w:r>
          </w:p>
          <w:p w14:paraId="23A0583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5964F0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1076B2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34AAC40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 sygnalizujący konieczność użycia rampy dla wózka inwalidzkiego na zewnątrz pojazdu – ZWI: </w:t>
            </w:r>
          </w:p>
          <w:p w14:paraId="162EE6C2" w14:textId="77777777" w:rsidR="00D06029" w:rsidRPr="00744967" w:rsidRDefault="00D06029" w:rsidP="00D06029">
            <w:pPr>
              <w:numPr>
                <w:ilvl w:val="0"/>
                <w:numId w:val="15"/>
              </w:numPr>
              <w:spacing w:after="0" w:line="240" w:lineRule="auto"/>
              <w:jc w:val="both"/>
              <w:rPr>
                <w:rFonts w:ascii="Times New Roman" w:eastAsia="Times New Roman" w:hAnsi="Times New Roman" w:cs="Times New Roman"/>
                <w:sz w:val="24"/>
                <w:szCs w:val="24"/>
                <w:lang w:eastAsia="pl-PL"/>
              </w:rPr>
            </w:pPr>
            <w:r w:rsidRPr="00744967">
              <w:rPr>
                <w:rFonts w:ascii="Cambria" w:hAnsi="Cambria"/>
                <w:szCs w:val="20"/>
              </w:rPr>
              <w:t>umieszczony zgodnie z wymaganiami Załącznika 8 do Regulaminu nr 107 EKG ONZ</w:t>
            </w:r>
            <w:r w:rsidRPr="00744967">
              <w:rPr>
                <w:rStyle w:val="Odwoanieprzypisudolnego"/>
                <w:rFonts w:ascii="Cambria" w:hAnsi="Cambria"/>
                <w:szCs w:val="20"/>
              </w:rPr>
              <w:footnoteReference w:id="11"/>
            </w:r>
            <w:r w:rsidRPr="00744967">
              <w:rPr>
                <w:rFonts w:ascii="Cambria" w:hAnsi="Cambria"/>
                <w:szCs w:val="20"/>
              </w:rPr>
              <w:t>;</w:t>
            </w:r>
          </w:p>
          <w:p w14:paraId="20576C6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na wysokości umożliwiającej naciśnięcie przycisku przez osobę poruszającą się na wózku;</w:t>
            </w:r>
          </w:p>
          <w:p w14:paraId="54E59F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umieszczony na prawym skrzydle drugich drzwi, pod przyciskiem otwierania drzwi przez pasażerów (ZO2);</w:t>
            </w:r>
          </w:p>
          <w:p w14:paraId="081773D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06C2A17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3B9473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25ED11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typu sensorycznego (dotykowy);</w:t>
            </w:r>
          </w:p>
          <w:p w14:paraId="12C12D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17F8915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35ED12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 z dodatkowym piktogramem osoby na wózku inwalidzkim;</w:t>
            </w:r>
          </w:p>
          <w:p w14:paraId="62FD95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568ADE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wewnątrz pojazdu:</w:t>
            </w:r>
          </w:p>
          <w:p w14:paraId="0BE4DF0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WOS1÷WOS3 (WOSx, gdzie x oznacza numer kolejnych drzwi) – zestawy od jednego do trzech przycisków przyporządkowane funkcyjnie, tj. służące do otwierania tylko tych drzwi przy (lub na) których są umieszczone; </w:t>
            </w:r>
          </w:p>
          <w:p w14:paraId="664D9E8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również jak przyciski powiadamiania o zamiarze zatrzymania WSx;</w:t>
            </w:r>
          </w:p>
          <w:p w14:paraId="4AC8AD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funkcję pamięci, która powoduje zapamiętanie faktu naciśnięcia danego przycisku;</w:t>
            </w:r>
          </w:p>
          <w:p w14:paraId="0FB7507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na poręczach (lub innych elementach zabudowy wnętrza pojazdu):</w:t>
            </w:r>
          </w:p>
          <w:p w14:paraId="0695E4C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prawej stronie drzwi;</w:t>
            </w:r>
          </w:p>
          <w:p w14:paraId="3F777FF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6673F0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p>
          <w:p w14:paraId="08DE684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przypadku drzwi otwieranych na zewnątrz umieszczone bezpośrednio na skrzydłach drzwi:</w:t>
            </w:r>
          </w:p>
          <w:p w14:paraId="5753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prawym skrzydle drzwi;</w:t>
            </w:r>
          </w:p>
          <w:p w14:paraId="47D8BE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lewym skrzydle drzwi oraz dodatkowo przyciski umieszczone na poręczach jw.;</w:t>
            </w:r>
          </w:p>
          <w:p w14:paraId="6105C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36E5BA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263F45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oznaczone na przycisku lub na obudowie piktogramem w formie dwóch przeciwnie skierowanych strzałek „&lt; &gt;” z piktogramem drzwi pomiędzy strzałkami oraz z napisem „STOP”; </w:t>
            </w:r>
          </w:p>
          <w:p w14:paraId="64609B9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693DF4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8D319C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258FAF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14497F7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2AB47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powiadamiania o zamiarze zatrzymania, tzw. STOP/ „na żądanie” wewnątrz pojazdu:</w:t>
            </w:r>
          </w:p>
          <w:p w14:paraId="5FF51C8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WS1y÷WS3y (WSxy, gdzie x oznacza numer kolejnych drzwi) – zgrupowane funkcjonalnie i przypisane funkcjonalnie do najbliższych drzwi dla danego przycisku w danej grupie – tj. funkcjonujące w strefach działania przycisków;</w:t>
            </w:r>
          </w:p>
          <w:p w14:paraId="595572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3E17004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umieszczone na poręczach lub innych powierzchniach zabudowy nadwozia; </w:t>
            </w:r>
          </w:p>
          <w:p w14:paraId="137190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06BAFB1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liczbie: minimalnej – 1 przycisk na każde 2 miejsca siedzące, zalecanej – na wszystkich pionowych poręczach;</w:t>
            </w:r>
          </w:p>
          <w:p w14:paraId="4E3FCF5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01020D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czerwony;</w:t>
            </w:r>
          </w:p>
          <w:p w14:paraId="46D0B45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napisem na przycisku „STOP”;</w:t>
            </w:r>
          </w:p>
          <w:p w14:paraId="4FA387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4F89CF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74E506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134E6D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89364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sygnalizujący konieczność użycia rampy dla wózka inwalidzkiego wewnątrz pojazdu – WWIS:</w:t>
            </w:r>
          </w:p>
          <w:p w14:paraId="6BF3152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zgodnie z wymaganiami Załącznika 8 do Regulaminu nr 107 EKG ONZ;</w:t>
            </w:r>
          </w:p>
          <w:p w14:paraId="677F8C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233FE2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64D3BF5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kolor przycisku niebieski;</w:t>
            </w:r>
          </w:p>
          <w:p w14:paraId="2A60704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50BF4CE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55F6D55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647C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F1B1F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6E9ABA6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 wózkiem dziecięcym wewnątrz pojazdu – WWDS:</w:t>
            </w:r>
          </w:p>
          <w:p w14:paraId="40EE3F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dziecięcy oraz przy miejscu na wózek inwalidzki,</w:t>
            </w:r>
          </w:p>
          <w:p w14:paraId="0F0477B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397275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712F2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dziecięcego umieszczonym bezpośrednio na przycisku;</w:t>
            </w:r>
          </w:p>
          <w:p w14:paraId="2D00A9E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D83D7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5DCA03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4BFAA6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zajmującą miejsce specjalne wewnątrz pojazdu - WIPS:</w:t>
            </w:r>
          </w:p>
          <w:p w14:paraId="69BF8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zgodnie z wymaganiami Załącznika 8 do Regulaminu nr 107 EKG ONZ;</w:t>
            </w:r>
          </w:p>
          <w:p w14:paraId="72B67B8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przy siedzeniach specjalnych o ograniczonej możliwości poruszania;</w:t>
            </w:r>
          </w:p>
          <w:p w14:paraId="5DADB8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6C7D3B3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żółty;</w:t>
            </w:r>
          </w:p>
          <w:p w14:paraId="1B56023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4DA043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oznakowane symbolem graficznym wg wzoru podanego na rys. 23B, Załącznika 4 do Regulaminu nr 107 EKG ONZ;</w:t>
            </w:r>
          </w:p>
          <w:p w14:paraId="183B73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3BC7BF7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08174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46721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5415B8" w14:textId="231E9709"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Szczegółowe zasady funkcjonowania SSD określa Załącznik nr 1.9 do SWZ „Funkcjonalność Systemu Sterowania Drzwiami (SSD)”;</w:t>
            </w:r>
          </w:p>
        </w:tc>
      </w:tr>
      <w:tr w:rsidR="00DB7B25" w:rsidRPr="00744967" w14:paraId="3526EB9D" w14:textId="77777777" w:rsidTr="001C684D">
        <w:tc>
          <w:tcPr>
            <w:tcW w:w="379" w:type="dxa"/>
          </w:tcPr>
          <w:p w14:paraId="155E30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Kabina kierowcy</w:t>
            </w:r>
          </w:p>
        </w:tc>
        <w:tc>
          <w:tcPr>
            <w:tcW w:w="7588" w:type="dxa"/>
          </w:tcPr>
          <w:p w14:paraId="609278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typu zamkniętego, z wydzielonym wejściem dla kierowcy przez przednie skrzydło pierwszych drzwi sterowane osobno i niezależnie, z zachowaniem minimalnej szerokości wejścia dla pasażerów 550 mm; dopuszcza się 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6E12FE6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klimatyzowana, z możliwością regulacji kierunku i wydatku nadmuchu ciepłego oraz zimnego powietrza;</w:t>
            </w:r>
          </w:p>
          <w:p w14:paraId="69B6A42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posiadająca sterowany niezależnie wydajny system ogrzewania z nadmuchem ciepłego powietrza w rejon nóg kierowcy, </w:t>
            </w:r>
            <w:r w:rsidRPr="00744967">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744967">
              <w:rPr>
                <w:rFonts w:ascii="Cambria" w:eastAsia="Times New Roman" w:hAnsi="Cambria" w:cs="Times New Roman"/>
                <w:szCs w:val="20"/>
                <w:lang w:eastAsia="pl-PL"/>
              </w:rPr>
              <w:t>dodatkowej nagrzewnicy typu dmuchawa, sterowanej niezależnie, zapewniającej nadmuch ciepłego powietrza w rejon nóg kierowcy;</w:t>
            </w:r>
          </w:p>
          <w:p w14:paraId="1EC4A4B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dostatecznie izolująca stanowisko kierowcy przed ewentualną agresją pasażerów;</w:t>
            </w:r>
          </w:p>
          <w:p w14:paraId="78EFE8E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p>
          <w:p w14:paraId="26C7D43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262A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22686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7B0700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56AA91E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744967">
              <w:rPr>
                <w:rFonts w:ascii="Times New Roman" w:eastAsia="Times New Roman" w:hAnsi="Times New Roman" w:cs="Times New Roman"/>
                <w:sz w:val="20"/>
                <w:szCs w:val="20"/>
                <w:lang w:eastAsia="pl-PL"/>
              </w:rPr>
              <w:t xml:space="preserve"> </w:t>
            </w:r>
            <w:r w:rsidRPr="00744967">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68AB2FE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0A591EC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dla mikrofonu dodatkowego, 1 szt. typu DIN 4 pin/216°, umieszczone w pasie nadokiennym bezpośrednio za I drzwiami;</w:t>
            </w:r>
          </w:p>
          <w:p w14:paraId="17FE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zapalniczki 12V, min. 15A umieszczone w zasięgu kierowcy;</w:t>
            </w:r>
          </w:p>
          <w:p w14:paraId="27F7ACC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wyposażona w ładowarkę USB Typ A i Typ C 5V/2A;</w:t>
            </w:r>
          </w:p>
          <w:p w14:paraId="63AB0D3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34265A5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3E65466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E4B969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1C3B9745" w14:textId="44DE0F21"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dodatkowe półki lub schowki: na drzwiach kabiny, po lewej stronie kabiny pod oknem, nad oknem itp.;</w:t>
            </w:r>
          </w:p>
        </w:tc>
      </w:tr>
      <w:tr w:rsidR="00DB7B25" w:rsidRPr="00744967" w14:paraId="0B2E8401" w14:textId="77777777" w:rsidTr="001C684D">
        <w:tc>
          <w:tcPr>
            <w:tcW w:w="379" w:type="dxa"/>
          </w:tcPr>
          <w:p w14:paraId="3129ACB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 kierowcy</w:t>
            </w:r>
          </w:p>
        </w:tc>
        <w:tc>
          <w:tcPr>
            <w:tcW w:w="7588" w:type="dxa"/>
          </w:tcPr>
          <w:p w14:paraId="47D64C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033B58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16C12D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trzy punktowy pas bezpieczeństwa zintegrowany z fotelem;</w:t>
            </w:r>
          </w:p>
          <w:p w14:paraId="0BF01A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regulacji umieszczone z prawej strony;</w:t>
            </w:r>
          </w:p>
          <w:p w14:paraId="1527469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04E61E8C" w14:textId="1ECC108F" w:rsidR="00D06029" w:rsidRPr="00744967" w:rsidRDefault="00D06029" w:rsidP="00D06029">
            <w:pPr>
              <w:spacing w:after="0" w:line="240" w:lineRule="auto"/>
              <w:ind w:left="360" w:hanging="360"/>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DB7B25" w:rsidRPr="00744967" w14:paraId="16F6CA19" w14:textId="77777777" w:rsidTr="001C684D">
        <w:tc>
          <w:tcPr>
            <w:tcW w:w="379" w:type="dxa"/>
          </w:tcPr>
          <w:p w14:paraId="128AD51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Fotele pasażerskie</w:t>
            </w:r>
          </w:p>
        </w:tc>
        <w:tc>
          <w:tcPr>
            <w:tcW w:w="7588" w:type="dxa"/>
          </w:tcPr>
          <w:p w14:paraId="4FDBB87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 ergonomicznym kształcie; </w:t>
            </w:r>
          </w:p>
          <w:p w14:paraId="3B4082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szerokości siedziska 440 mm liczonej jako zewnętrzna szerokość korpusu fotela;</w:t>
            </w:r>
          </w:p>
          <w:p w14:paraId="34EC765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6E8424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siedziskiem – minimalny spadek siedziska ku części tylnej 4°;</w:t>
            </w:r>
          </w:p>
          <w:p w14:paraId="5E66B3CC" w14:textId="77777777"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oparciem – minimalne pochylenie oparcia 17°;</w:t>
            </w:r>
          </w:p>
          <w:p w14:paraId="250C8D2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D90B8A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6409FA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DD7F96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11873F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„graffiti”;</w:t>
            </w:r>
          </w:p>
          <w:p w14:paraId="0C8CB74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0D5F77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228AAE9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3D5827C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79FBBA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932FC6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44095CC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638E6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3FF397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wkładki tapicerskie siedziska i oparcia, wyposażone w gąbkę zmiękczającą pod tapicerką, w wykonaniu łatwo wymienialnym;</w:t>
            </w:r>
          </w:p>
          <w:p w14:paraId="7F082FD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48F5C0EB" w14:textId="78202E3C"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 tapicerski antybakteryjny;</w:t>
            </w:r>
          </w:p>
        </w:tc>
      </w:tr>
      <w:tr w:rsidR="00DB7B25" w:rsidRPr="00744967" w14:paraId="77B9B151" w14:textId="77777777" w:rsidTr="001C684D">
        <w:tc>
          <w:tcPr>
            <w:tcW w:w="379" w:type="dxa"/>
          </w:tcPr>
          <w:p w14:paraId="14B3D0F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nadwozie – zabezpieczenie</w:t>
            </w:r>
          </w:p>
          <w:p w14:paraId="0F712967" w14:textId="2F09350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odporność na korozję </w:t>
            </w:r>
          </w:p>
        </w:tc>
        <w:tc>
          <w:tcPr>
            <w:tcW w:w="7588" w:type="dxa"/>
          </w:tcPr>
          <w:p w14:paraId="17046346" w14:textId="36666CA6" w:rsidR="00D06029" w:rsidRPr="00744967" w:rsidRDefault="00D06029" w:rsidP="00D06029">
            <w:pPr>
              <w:spacing w:after="0" w:line="240" w:lineRule="auto"/>
              <w:ind w:left="369" w:hanging="369"/>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r>
            <w:r w:rsidRPr="00BA6A17">
              <w:rPr>
                <w:rFonts w:ascii="Cambria" w:eastAsia="Times New Roman" w:hAnsi="Cambria" w:cs="Times New Roman"/>
                <w:strike/>
                <w:color w:val="FF0000"/>
                <w:szCs w:val="20"/>
                <w:lang w:eastAsia="pl-PL"/>
              </w:rPr>
              <w:t>zalecana</w:t>
            </w:r>
            <w:r w:rsidRPr="00744967">
              <w:rPr>
                <w:rFonts w:ascii="Cambria" w:eastAsia="Times New Roman" w:hAnsi="Cambria" w:cs="Times New Roman"/>
                <w:szCs w:val="20"/>
                <w:lang w:eastAsia="pl-PL"/>
              </w:rPr>
              <w:t xml:space="preserve">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89594F" w:rsidRPr="00744967">
              <w:rPr>
                <w:rFonts w:ascii="Cambria" w:hAnsi="Cambria"/>
              </w:rPr>
              <w:t xml:space="preserve"> jako dowód Wykonawca musi przedstawić homologację potwierdzającą spełnienie wymogów tego Regulaminu;</w:t>
            </w:r>
          </w:p>
          <w:p w14:paraId="1E61273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zabezpieczone przeciw korozji w sposób zapewniający minimum dwunastoletni okres eksploatacji bez wykonywania napraw spowodowanych korozją;</w:t>
            </w:r>
          </w:p>
          <w:p w14:paraId="102AE21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83171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zalecenia wykonawcze w zakresie materiałów:</w:t>
            </w:r>
          </w:p>
          <w:p w14:paraId="7BC9714E" w14:textId="77777777" w:rsidR="00D06029" w:rsidRPr="00744967" w:rsidRDefault="00D06029" w:rsidP="00D06029">
            <w:pPr>
              <w:numPr>
                <w:ilvl w:val="0"/>
                <w:numId w:val="11"/>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kratownica lub rama podwozia, szkielet nadwozia: stal nierdzewna lub stal konstrukcyjna niskostopowa o podwyższonej wytrzymałości zabezpieczona przed korozją w procesie elektroforezy;</w:t>
            </w:r>
          </w:p>
          <w:p w14:paraId="7A0CA8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52B3ECC7"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ściany przedniej, tylnej, dachu: laminat na bazie tworzyw sztucznych, stopy aluminium;</w:t>
            </w:r>
          </w:p>
          <w:p w14:paraId="5B8F6C54"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nadkola, schowek akumulatorów: stal nierdzewna;</w:t>
            </w:r>
          </w:p>
          <w:p w14:paraId="283BAA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stopy aluminium, stal nierdzewna;</w:t>
            </w:r>
          </w:p>
          <w:p w14:paraId="1413937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osłony dolne wykonane z materiału antykorozyjnego zabezpieczające osprzęt i instalacje umieszczone w podwoziu wraz z zabezpieczeniem części tylnej za II osią, przed dostawaniem się zanieczyszczeń drogowych;</w:t>
            </w:r>
          </w:p>
          <w:p w14:paraId="4E0C5F9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4BBD1D1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wnęki kół wyposażone w osłony konstrukcji podwozia;</w:t>
            </w:r>
          </w:p>
          <w:p w14:paraId="47BEA481" w14:textId="3112F73E"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wyposażone w przewidziane wzmocnione miejsca instalacji podpór stałych oraz miejsca podnoszenia za pomocą podnośników stemplowych;</w:t>
            </w:r>
          </w:p>
        </w:tc>
      </w:tr>
      <w:tr w:rsidR="00DB7B25" w:rsidRPr="00744967" w14:paraId="0484DB46" w14:textId="77777777" w:rsidTr="001C684D">
        <w:tc>
          <w:tcPr>
            <w:tcW w:w="379" w:type="dxa"/>
          </w:tcPr>
          <w:p w14:paraId="29D4631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Nadwozie</w:t>
            </w:r>
          </w:p>
        </w:tc>
        <w:tc>
          <w:tcPr>
            <w:tcW w:w="7588" w:type="dxa"/>
          </w:tcPr>
          <w:p w14:paraId="0C4409E4"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ściany boczne i dach izolowane cieplnie;</w:t>
            </w:r>
          </w:p>
          <w:p w14:paraId="293C367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wykładziny wewnętrzne łatwo zmywalne, odporne na „graffiti”;</w:t>
            </w:r>
          </w:p>
          <w:p w14:paraId="060317E7"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autobusu oraz elementy wykończenia progu drzwi wykonane w sposób umożliwiający samoczynny, grawitacyjny spływ wody</w:t>
            </w:r>
          </w:p>
          <w:p w14:paraId="3FB8BF2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2D89100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przednich drzwiach, pas o szerokości min. 300 mm od krawędzi progu i w strefie ruchu skrzydeł drzwi oraz w strefie ograniczania widoczności kierowcy przez pasażerów (od przodu autobusu do ścianki działowej za I 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p>
          <w:p w14:paraId="7E38E1D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673CD4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miejscach wyznaczonych na wózek inwalidzki i wózek dziecięcy wykładzina podłogi w kolorze ciemno-niebieskim (np. RAL 5017 lub zbliżony);</w:t>
            </w:r>
          </w:p>
          <w:p w14:paraId="23A8028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7F76D0D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klapy obsługowe usytuowane wewnątrz, w strefie nad oknami, wyposażone w zamki zamykane (otwierane) jednym kluczem np. typu kwadrat;</w:t>
            </w:r>
          </w:p>
          <w:p w14:paraId="0C37688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klapy obsługowe wewnętrzne otwierane pojedynczo, bez konieczności otwarcia klap sąsiadujących; </w:t>
            </w:r>
          </w:p>
          <w:p w14:paraId="44B0FBF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54BE600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676188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1B989B5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488B077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18AAD51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CBDEAA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4CDF3EC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2B78A1A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744967">
              <w:rPr>
                <w:rFonts w:ascii="Cambria" w:eastAsia="Times New Roman" w:hAnsi="Cambria" w:cs="Times New Roman"/>
                <w:szCs w:val="20"/>
                <w:lang w:eastAsia="pl-PL"/>
              </w:rPr>
              <w:softHyphen/>
              <w:t>wym kolorem żółtym;</w:t>
            </w:r>
          </w:p>
          <w:p w14:paraId="4DDD539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3EDC80E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wykonanie nadwozia przy zastosowaniu technologii o dużej podatności do wykonywania napraw powypadkowych;</w:t>
            </w:r>
          </w:p>
          <w:p w14:paraId="0F27CA34" w14:textId="2C48F3FB"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DB7B25" w:rsidRPr="00744967" w14:paraId="5DDA654E" w14:textId="77777777" w:rsidTr="001C684D">
        <w:tc>
          <w:tcPr>
            <w:tcW w:w="379" w:type="dxa"/>
          </w:tcPr>
          <w:p w14:paraId="77DCD09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7E74DD8A"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Zaawansowane systemy wspomagania kierowcy, systemy cyberbezpieczeństwa</w:t>
            </w:r>
          </w:p>
        </w:tc>
        <w:tc>
          <w:tcPr>
            <w:tcW w:w="7588" w:type="dxa"/>
          </w:tcPr>
          <w:p w14:paraId="67F43B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pojazd wyposażony w obowiązujące dla pojazdów M3 zaawansowane systemy wspomagania kierowcy (ADAS </w:t>
            </w:r>
            <w:r w:rsidRPr="00744967">
              <w:rPr>
                <w:rFonts w:ascii="Cambria" w:eastAsia="Times New Roman" w:hAnsi="Cambria" w:cs="Times New Roman"/>
                <w:i/>
                <w:iCs/>
                <w:szCs w:val="20"/>
                <w:lang w:eastAsia="pl-PL"/>
              </w:rPr>
              <w:t>– Advanced Driver Assistance Systems</w:t>
            </w:r>
            <w:r w:rsidRPr="00744967">
              <w:rPr>
                <w:rFonts w:ascii="Cambria" w:eastAsia="Times New Roman" w:hAnsi="Cambria" w:cs="Times New Roman"/>
                <w:szCs w:val="20"/>
                <w:lang w:eastAsia="pl-PL"/>
              </w:rPr>
              <w:t>) zgodne z Rozporządzeniem Parlamentu Europejskiego i Rady (UE) 2019/2144, z późniejszymi zmianami, w tym: MOIS (</w:t>
            </w:r>
            <w:r w:rsidRPr="00744967">
              <w:rPr>
                <w:rFonts w:ascii="Cambria" w:eastAsia="Times New Roman" w:hAnsi="Cambria" w:cs="Times New Roman"/>
                <w:i/>
                <w:iCs/>
                <w:szCs w:val="20"/>
                <w:lang w:eastAsia="pl-PL"/>
              </w:rPr>
              <w:t>Moving Off Information system</w:t>
            </w:r>
            <w:r w:rsidRPr="00744967">
              <w:rPr>
                <w:rFonts w:ascii="Cambria" w:eastAsia="Times New Roman" w:hAnsi="Cambria" w:cs="Times New Roman"/>
                <w:szCs w:val="20"/>
                <w:lang w:eastAsia="pl-PL"/>
              </w:rPr>
              <w:t>), BSIS (</w:t>
            </w:r>
            <w:r w:rsidRPr="00744967">
              <w:rPr>
                <w:rFonts w:ascii="Cambria" w:eastAsia="Times New Roman" w:hAnsi="Cambria" w:cs="Times New Roman"/>
                <w:i/>
                <w:iCs/>
                <w:szCs w:val="20"/>
                <w:lang w:eastAsia="pl-PL"/>
              </w:rPr>
              <w:t>Blind Spot Information System</w:t>
            </w:r>
            <w:r w:rsidRPr="00744967">
              <w:rPr>
                <w:rFonts w:ascii="Cambria" w:eastAsia="Times New Roman" w:hAnsi="Cambria" w:cs="Times New Roman"/>
                <w:szCs w:val="20"/>
                <w:lang w:eastAsia="pl-PL"/>
              </w:rPr>
              <w:t>) REIS (Reversing Information System), ISA (</w:t>
            </w:r>
            <w:r w:rsidRPr="00744967">
              <w:rPr>
                <w:rFonts w:ascii="Cambria" w:eastAsia="Times New Roman" w:hAnsi="Cambria" w:cs="Times New Roman"/>
                <w:i/>
                <w:iCs/>
                <w:szCs w:val="20"/>
                <w:lang w:eastAsia="pl-PL"/>
              </w:rPr>
              <w:t>Intelligent Speed Assist</w:t>
            </w:r>
            <w:r w:rsidRPr="00744967">
              <w:rPr>
                <w:rFonts w:ascii="Cambria" w:eastAsia="Times New Roman" w:hAnsi="Cambria" w:cs="Times New Roman"/>
                <w:szCs w:val="20"/>
                <w:lang w:eastAsia="pl-PL"/>
              </w:rPr>
              <w:t>), DDAW (</w:t>
            </w:r>
            <w:r w:rsidRPr="00744967">
              <w:rPr>
                <w:rFonts w:ascii="Cambria" w:eastAsia="Times New Roman" w:hAnsi="Cambria" w:cs="Times New Roman"/>
                <w:i/>
                <w:iCs/>
                <w:szCs w:val="20"/>
                <w:lang w:eastAsia="pl-PL"/>
              </w:rPr>
              <w:t>Driver Drowsiness And Alerntess Warning</w:t>
            </w:r>
            <w:r w:rsidRPr="00744967">
              <w:rPr>
                <w:rFonts w:ascii="Cambria" w:eastAsia="Times New Roman" w:hAnsi="Cambria" w:cs="Times New Roman"/>
                <w:szCs w:val="20"/>
                <w:lang w:eastAsia="pl-PL"/>
              </w:rPr>
              <w:t>), TPMS (</w:t>
            </w:r>
            <w:r w:rsidRPr="00744967">
              <w:rPr>
                <w:rFonts w:ascii="Cambria" w:eastAsia="Times New Roman" w:hAnsi="Cambria" w:cs="Times New Roman"/>
                <w:i/>
                <w:iCs/>
                <w:szCs w:val="20"/>
                <w:lang w:eastAsia="pl-PL"/>
              </w:rPr>
              <w:t>Tyre Pressure Monitoring System</w:t>
            </w:r>
            <w:r w:rsidRPr="00744967">
              <w:rPr>
                <w:rFonts w:ascii="Cambria" w:eastAsia="Times New Roman" w:hAnsi="Cambria" w:cs="Times New Roman"/>
                <w:szCs w:val="20"/>
                <w:lang w:eastAsia="pl-PL"/>
              </w:rPr>
              <w:t>);</w:t>
            </w:r>
          </w:p>
          <w:p w14:paraId="1F927366" w14:textId="77777777" w:rsidR="00D06029" w:rsidRPr="00744967" w:rsidRDefault="00D06029" w:rsidP="00D06029">
            <w:pPr>
              <w:numPr>
                <w:ilvl w:val="0"/>
                <w:numId w:val="14"/>
              </w:numPr>
              <w:spacing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zgodne z Regulaminami EKG ONZ nr 155 i nr 156, a także Rozporządzeniem    Parlamentu Europejskiego i Rady (UE) 2019/2144 (GSR2);</w:t>
            </w:r>
            <w:r w:rsidRPr="00744967">
              <w:rPr>
                <w:rFonts w:ascii="Fira Sans" w:hAnsi="Fira Sans"/>
                <w:sz w:val="27"/>
                <w:szCs w:val="27"/>
                <w:shd w:val="clear" w:color="auto" w:fill="FFFFFF"/>
              </w:rPr>
              <w:t> </w:t>
            </w:r>
          </w:p>
          <w:p w14:paraId="5061E5C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zalecany montaż urządzeń w sposób niezakłócający pracy kierowcy oraz nieograniczający jego pola widzenia;</w:t>
            </w:r>
          </w:p>
          <w:p w14:paraId="56B8AEF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dopuszcza się integrację z Urządzeniami Systemu Monitoringu Wizyjnego i systemem lusterek cyfrowych/wirtualnych; </w:t>
            </w:r>
          </w:p>
          <w:p w14:paraId="061D82B1"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352B79E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przedstawi dokumentację ww. systemów przed dostawą pierwszej partii autobusów;</w:t>
            </w:r>
          </w:p>
          <w:p w14:paraId="1BF33F91" w14:textId="5FF1205C"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w okresie gwarancji całopojazdowej zapewni kalibrację wszystkich elementów systemu w razie wymagań czy rozkalibrowania (kamery, czujniki itp.);</w:t>
            </w:r>
          </w:p>
        </w:tc>
      </w:tr>
      <w:tr w:rsidR="00DB7B25" w:rsidRPr="00744967" w14:paraId="4A258EAE" w14:textId="77777777" w:rsidTr="001C684D">
        <w:tc>
          <w:tcPr>
            <w:tcW w:w="379" w:type="dxa"/>
          </w:tcPr>
          <w:p w14:paraId="1E6D540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informacji liniowej i pasażerskiej – tablice kierunkowe zewnętrzne, wewnętrzne, zliczanie pasażerów</w:t>
            </w:r>
          </w:p>
        </w:tc>
        <w:tc>
          <w:tcPr>
            <w:tcW w:w="7588" w:type="dxa"/>
          </w:tcPr>
          <w:p w14:paraId="21F0A71E" w14:textId="578033B1"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2847E16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370807F2" w14:textId="689FB690"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DB7B25" w:rsidRPr="00744967" w14:paraId="5DF3F6DA" w14:textId="77777777" w:rsidTr="001C684D">
        <w:trPr>
          <w:cantSplit/>
        </w:trPr>
        <w:tc>
          <w:tcPr>
            <w:tcW w:w="379" w:type="dxa"/>
          </w:tcPr>
          <w:p w14:paraId="1DDF72C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System wizualizacji reklam i ogłoszeń</w:t>
            </w:r>
          </w:p>
        </w:tc>
        <w:tc>
          <w:tcPr>
            <w:tcW w:w="7588" w:type="dxa"/>
          </w:tcPr>
          <w:p w14:paraId="5C1648CE" w14:textId="5A7F4BE2" w:rsidR="00D06029" w:rsidRPr="00744967" w:rsidRDefault="00D06029" w:rsidP="00D06029">
            <w:pPr>
              <w:pStyle w:val="Akapitzlist"/>
              <w:numPr>
                <w:ilvl w:val="0"/>
                <w:numId w:val="32"/>
              </w:numPr>
              <w:rPr>
                <w:rFonts w:ascii="Cambria" w:hAnsi="Cambria"/>
                <w:sz w:val="22"/>
                <w:szCs w:val="22"/>
              </w:rPr>
            </w:pPr>
            <w:r w:rsidRPr="00744967">
              <w:rPr>
                <w:rFonts w:ascii="Cambria" w:hAnsi="Cambria"/>
                <w:sz w:val="22"/>
                <w:szCs w:val="22"/>
              </w:rPr>
              <w:t xml:space="preserve">szczegółowy opis wymagań dotyczących zamontowania w autobusach systemu </w:t>
            </w:r>
            <w:r w:rsidRPr="00744967">
              <w:rPr>
                <w:rFonts w:ascii="Cambria" w:hAnsi="Cambria"/>
                <w:bCs/>
                <w:sz w:val="22"/>
                <w:szCs w:val="22"/>
              </w:rPr>
              <w:t>wizualizacji reklam i ogłoszeń</w:t>
            </w:r>
            <w:r w:rsidRPr="00744967">
              <w:rPr>
                <w:rFonts w:ascii="Cambria" w:hAnsi="Cambria"/>
                <w:sz w:val="22"/>
                <w:szCs w:val="22"/>
              </w:rPr>
              <w:t xml:space="preserve">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41F03C08" w14:textId="77777777" w:rsidTr="001C684D">
        <w:tc>
          <w:tcPr>
            <w:tcW w:w="379" w:type="dxa"/>
          </w:tcPr>
          <w:p w14:paraId="7351F8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monitoringu wizyjnego</w:t>
            </w:r>
          </w:p>
        </w:tc>
        <w:tc>
          <w:tcPr>
            <w:tcW w:w="7588" w:type="dxa"/>
          </w:tcPr>
          <w:p w14:paraId="0B4883E8" w14:textId="6B6A21C4" w:rsidR="00D06029" w:rsidRPr="00744967" w:rsidRDefault="00D06029" w:rsidP="00D06029">
            <w:pPr>
              <w:numPr>
                <w:ilvl w:val="0"/>
                <w:numId w:val="19"/>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szczegółowy opis wymagań dotyczących zamontowania w autobusach systemu monitoringu wizyjnego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4E4B8313" w14:textId="77F90ED4" w:rsidR="00D06029" w:rsidRPr="00744967" w:rsidRDefault="00D06029" w:rsidP="00D06029">
            <w:pPr>
              <w:numPr>
                <w:ilvl w:val="0"/>
                <w:numId w:val="19"/>
              </w:numPr>
              <w:spacing w:after="0" w:line="240" w:lineRule="auto"/>
              <w:contextualSpacing/>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przedstawienia w trybie roboczym po podpisaniu Umowy, przed odbiorami pierwszych pojazdów, schematu rozmieszczenia kamer w pojeździe i ich pola widzenia;</w:t>
            </w:r>
          </w:p>
        </w:tc>
      </w:tr>
      <w:tr w:rsidR="00DB7B25" w:rsidRPr="00744967" w14:paraId="4CF2004A" w14:textId="77777777" w:rsidTr="001C684D">
        <w:trPr>
          <w:cantSplit/>
        </w:trPr>
        <w:tc>
          <w:tcPr>
            <w:tcW w:w="379" w:type="dxa"/>
          </w:tcPr>
          <w:p w14:paraId="383BC75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020F988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łączności alarmowej i lokalizacji pojazdu</w:t>
            </w:r>
          </w:p>
        </w:tc>
        <w:tc>
          <w:tcPr>
            <w:tcW w:w="7588" w:type="dxa"/>
          </w:tcPr>
          <w:p w14:paraId="2D87C735" w14:textId="12B09A84" w:rsidR="00D06029" w:rsidRPr="00744967" w:rsidRDefault="00D06029" w:rsidP="00D06029">
            <w:pPr>
              <w:pStyle w:val="Akapitzlist"/>
              <w:numPr>
                <w:ilvl w:val="0"/>
                <w:numId w:val="33"/>
              </w:numPr>
              <w:rPr>
                <w:rFonts w:ascii="Cambria" w:hAnsi="Cambria"/>
                <w:sz w:val="22"/>
                <w:szCs w:val="22"/>
              </w:rPr>
            </w:pPr>
            <w:r w:rsidRPr="00744967">
              <w:rPr>
                <w:rFonts w:ascii="Cambria" w:hAnsi="Cambria"/>
                <w:sz w:val="22"/>
                <w:szCs w:val="22"/>
              </w:rPr>
              <w:t xml:space="preserve">szczegółowy opis wymagań dotyczących zamontowania w autobusach systemu telemetrii (radiotelefonu) i lokalizacji pojazdu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3EE0F7C" w14:textId="77777777" w:rsidTr="001C684D">
        <w:trPr>
          <w:cantSplit/>
        </w:trPr>
        <w:tc>
          <w:tcPr>
            <w:tcW w:w="379" w:type="dxa"/>
          </w:tcPr>
          <w:p w14:paraId="7B01EE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nagłaśniający</w:t>
            </w:r>
          </w:p>
        </w:tc>
        <w:tc>
          <w:tcPr>
            <w:tcW w:w="7588" w:type="dxa"/>
          </w:tcPr>
          <w:p w14:paraId="25C0AA5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B53A9B7" w14:textId="3C5BC893"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03A2B0B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1362313A"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dopuszcza się osobne przyciski aktywacji głośników wewnętrznych i głośnika zewnętrznego;</w:t>
            </w:r>
          </w:p>
          <w:p w14:paraId="3907424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66859CB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0DC97083" w14:textId="00929BB6" w:rsidR="00D06029" w:rsidRPr="00744967" w:rsidRDefault="00D06029" w:rsidP="00D06029">
            <w:pPr>
              <w:numPr>
                <w:ilvl w:val="0"/>
                <w:numId w:val="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DB7B25" w:rsidRPr="00744967" w14:paraId="5B76EBD0" w14:textId="77777777" w:rsidTr="001C684D">
        <w:tc>
          <w:tcPr>
            <w:tcW w:w="379" w:type="dxa"/>
          </w:tcPr>
          <w:p w14:paraId="5ED4BCDF"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5E77755C"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Kasowniki</w:t>
            </w:r>
            <w:r w:rsidRPr="00744967">
              <w:rPr>
                <w:rStyle w:val="Odwoanieprzypisudolnego"/>
                <w:rFonts w:ascii="Cambria" w:eastAsia="Times New Roman" w:hAnsi="Cambria" w:cs="Times New Roman"/>
                <w:szCs w:val="20"/>
                <w:lang w:eastAsia="pl-PL"/>
              </w:rPr>
              <w:footnoteReference w:id="12"/>
            </w:r>
          </w:p>
        </w:tc>
        <w:tc>
          <w:tcPr>
            <w:tcW w:w="7588" w:type="dxa"/>
          </w:tcPr>
          <w:p w14:paraId="71BEB1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744967">
              <w:rPr>
                <w:rFonts w:ascii="Cambria" w:eastAsia="Times New Roman" w:hAnsi="Cambria" w:cs="Times New Roman"/>
                <w:b/>
                <w:bCs/>
                <w:szCs w:val="20"/>
                <w:lang w:eastAsia="pl-PL"/>
              </w:rPr>
              <w:t xml:space="preserve"> </w:t>
            </w:r>
            <w:r w:rsidRPr="00744967">
              <w:rPr>
                <w:rFonts w:ascii="Cambria" w:eastAsia="Times New Roman" w:hAnsi="Cambria" w:cs="Times New Roman"/>
                <w:szCs w:val="20"/>
                <w:lang w:eastAsia="pl-PL"/>
              </w:rPr>
              <w:t>PTE, Affiliated Computer Services Solutions France SAS) lub równoważnego;</w:t>
            </w:r>
          </w:p>
          <w:p w14:paraId="3BA3EBC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wyposażony w sterownik kasowników posiadający </w:t>
            </w:r>
            <w:r w:rsidRPr="00744967">
              <w:rPr>
                <w:rFonts w:ascii="Cambria" w:eastAsia="Times New Roman" w:hAnsi="Cambria" w:cs="Times New Roman"/>
                <w:lang w:eastAsia="pl-PL"/>
              </w:rPr>
              <w:t xml:space="preserve">moduł WiFi do transmisji danych z/do systemu kasowników, w rozdzielacz SPOzP, w podstawy kasowników </w:t>
            </w:r>
            <w:r w:rsidRPr="00744967">
              <w:rPr>
                <w:rFonts w:ascii="Cambria" w:eastAsia="Times New Roman" w:hAnsi="Cambria" w:cs="Times New Roman"/>
                <w:szCs w:val="20"/>
                <w:lang w:eastAsia="pl-PL"/>
              </w:rPr>
              <w:t>oraz w instalację elektryczną do punktów mocowania: kasowników z podstawą (</w:t>
            </w:r>
            <w:r w:rsidRPr="00744967">
              <w:rPr>
                <w:rFonts w:ascii="Cambria" w:eastAsia="Times New Roman" w:hAnsi="Cambria" w:cs="Times New Roman"/>
                <w:lang w:eastAsia="pl-PL"/>
              </w:rPr>
              <w:t xml:space="preserve">wysokość podstawy kasownika od podłogi: 1000 ÷ 1100 mm, </w:t>
            </w:r>
            <w:r w:rsidRPr="00744967">
              <w:rPr>
                <w:rFonts w:ascii="Cambria" w:eastAsia="Times New Roman" w:hAnsi="Cambria" w:cs="Times New Roman"/>
                <w:szCs w:val="20"/>
                <w:lang w:eastAsia="pl-PL"/>
              </w:rPr>
              <w:t xml:space="preserve">usytuowanie w pobliżu każdych </w:t>
            </w:r>
            <w:r w:rsidRPr="00744967">
              <w:rPr>
                <w:rFonts w:ascii="Cambria" w:eastAsia="Times New Roman" w:hAnsi="Cambria" w:cs="Times New Roman"/>
                <w:lang w:eastAsia="pl-PL"/>
              </w:rPr>
              <w:t>drzwi w sposób nie utrudniający przejścia pasażerom</w:t>
            </w:r>
            <w:r w:rsidRPr="00744967">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1A98017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sterownik kasowników wchodzący w skład systemu kasowników jest jego integralną częścią i pozwala na wymianę danych przez moduł WiFi;</w:t>
            </w:r>
          </w:p>
          <w:p w14:paraId="547BF39D"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poprzez sieć LAN (złącza M12) </w:t>
            </w:r>
            <w:r w:rsidRPr="00744967">
              <w:rPr>
                <w:rFonts w:ascii="Cambria" w:eastAsia="Times New Roman" w:hAnsi="Cambria" w:cs="Times New Roman"/>
                <w:szCs w:val="20"/>
                <w:lang w:eastAsia="pl-PL"/>
              </w:rPr>
              <w:t>sterownik kasowników komunikuje się                             z autokomputerem systemu informacji liniowej</w:t>
            </w:r>
            <w:r w:rsidRPr="00744967">
              <w:rPr>
                <w:rFonts w:ascii="Cambria" w:eastAsia="Times New Roman" w:hAnsi="Cambria" w:cs="Times New Roman"/>
                <w:lang w:eastAsia="pl-PL"/>
              </w:rPr>
              <w:t>;</w:t>
            </w:r>
          </w:p>
          <w:p w14:paraId="323DA447"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czas systemowy do systemu kasowników będzie aktualizowany ze wskazanego przez Zamawiającego serwera czasu;</w:t>
            </w:r>
          </w:p>
          <w:p w14:paraId="01D4144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lastRenderedPageBreak/>
              <w:t>do komunikacji zewnętrznej Zamawiający udostępni dla systemu kasowników przyłącze internetowe;</w:t>
            </w:r>
          </w:p>
          <w:p w14:paraId="4019E0F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744967">
              <w:rPr>
                <w:rFonts w:ascii="Cambria" w:eastAsia="Times New Roman" w:hAnsi="Cambria" w:cs="Times New Roman"/>
                <w:szCs w:val="20"/>
                <w:lang w:eastAsia="pl-PL"/>
              </w:rPr>
              <w:t xml:space="preserve"> Ascom-Monetel </w:t>
            </w:r>
            <w:r w:rsidRPr="00744967">
              <w:rPr>
                <w:rFonts w:ascii="Cambria" w:eastAsia="Times New Roman" w:hAnsi="Cambria" w:cs="Times New Roman"/>
                <w:lang w:eastAsia="pl-PL"/>
              </w:rPr>
              <w:t>/ i protokołu komunikacyjnego łączności radiowej.</w:t>
            </w:r>
          </w:p>
          <w:p w14:paraId="60ACAD08" w14:textId="3BD9793F"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 xml:space="preserve">UWAGA: </w:t>
            </w:r>
            <w:r w:rsidRPr="00744967">
              <w:rPr>
                <w:rFonts w:ascii="Cambria" w:eastAsia="Times New Roman" w:hAnsi="Cambria" w:cs="Times New Roman"/>
                <w:szCs w:val="20"/>
                <w:lang w:eastAsia="pl-PL"/>
              </w:rPr>
              <w:t xml:space="preserve">kasowniki dostarcza i montuje Zamawiający. </w:t>
            </w:r>
          </w:p>
        </w:tc>
      </w:tr>
      <w:tr w:rsidR="00DB7B25" w:rsidRPr="00744967" w14:paraId="530DB82C" w14:textId="77777777" w:rsidTr="001C684D">
        <w:trPr>
          <w:cantSplit/>
        </w:trPr>
        <w:tc>
          <w:tcPr>
            <w:tcW w:w="379" w:type="dxa"/>
          </w:tcPr>
          <w:p w14:paraId="7C417794"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Ramki na tablice</w:t>
            </w:r>
          </w:p>
          <w:p w14:paraId="5E8F50E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informacyjne</w:t>
            </w:r>
          </w:p>
          <w:p w14:paraId="3B1F9D56"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(reklamy), pojemnik na materiały (ulotki) informacyjne</w:t>
            </w:r>
          </w:p>
        </w:tc>
        <w:tc>
          <w:tcPr>
            <w:tcW w:w="7588" w:type="dxa"/>
          </w:tcPr>
          <w:p w14:paraId="123ECC2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0E2B622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160D4B9"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ramki na plakaty informacyjne (reklamy) – ramka typu </w:t>
            </w:r>
            <w:r w:rsidRPr="00744967">
              <w:rPr>
                <w:rFonts w:ascii="Cambria" w:eastAsia="Times New Roman" w:hAnsi="Cambria" w:cs="Times New Roman"/>
                <w:i/>
                <w:iCs/>
                <w:lang w:eastAsia="pl-PL"/>
              </w:rPr>
              <w:t>clik-in</w:t>
            </w:r>
            <w:r w:rsidRPr="00744967">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6ACD8848"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275716AD" w14:textId="69F23282"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DB7B25" w:rsidRPr="00744967" w14:paraId="510360FF" w14:textId="77777777" w:rsidTr="001C684D">
        <w:tc>
          <w:tcPr>
            <w:tcW w:w="379" w:type="dxa"/>
          </w:tcPr>
          <w:p w14:paraId="505F5B3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wykrywania pożaru,</w:t>
            </w:r>
          </w:p>
          <w:p w14:paraId="6D63412C" w14:textId="77777777"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gaszenia</w:t>
            </w:r>
          </w:p>
          <w:p w14:paraId="13C833D7"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0F5FB6C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wymaga zastosowania:</w:t>
            </w:r>
          </w:p>
          <w:p w14:paraId="65F321B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w:t>
            </w:r>
            <w:r w:rsidRPr="00744967">
              <w:rPr>
                <w:rFonts w:ascii="Cambria" w:eastAsia="Times New Roman" w:hAnsi="Cambria" w:cs="Times New Roman"/>
                <w:lang w:eastAsia="pl-PL"/>
              </w:rPr>
              <w:lastRenderedPageBreak/>
              <w:t xml:space="preserve">rozkładu termicznego lub procesów fizykochemicznych zachodzących w celach/packach baterii (wykrywanie gazów) jeszcze przed pojawieniem się wyższej temperatury i ognia, system pełni jednocześnie funkcje sygnalizacyjne;  </w:t>
            </w:r>
          </w:p>
          <w:p w14:paraId="3B606EC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7D85815B"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05C0767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zaleca wykonanie linii detekcyjnych jako jednej pętli obejmującej cały obszar chroniony, bez łączeń, rozgałęzień itp.;</w:t>
            </w:r>
          </w:p>
          <w:p w14:paraId="438CCCF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0B9F88C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342A2CBF" w14:textId="02500A5A"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DB7B25" w:rsidRPr="00744967" w14:paraId="3B23B9D1" w14:textId="77777777" w:rsidTr="001C684D">
        <w:tc>
          <w:tcPr>
            <w:tcW w:w="379" w:type="dxa"/>
          </w:tcPr>
          <w:p w14:paraId="09ACE6AA"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Automat do sprzedaży biletów</w:t>
            </w:r>
          </w:p>
        </w:tc>
        <w:tc>
          <w:tcPr>
            <w:tcW w:w="7588" w:type="dxa"/>
          </w:tcPr>
          <w:p w14:paraId="32F9AA4B" w14:textId="77777777" w:rsidR="00D06029" w:rsidRPr="00744967" w:rsidRDefault="00D06029" w:rsidP="00D06029">
            <w:pPr>
              <w:pStyle w:val="Akapitzlist"/>
              <w:numPr>
                <w:ilvl w:val="0"/>
                <w:numId w:val="36"/>
              </w:numPr>
              <w:jc w:val="both"/>
              <w:rPr>
                <w:rFonts w:ascii="Cambria" w:hAnsi="Cambria"/>
                <w:bCs/>
                <w:sz w:val="22"/>
                <w:szCs w:val="16"/>
              </w:rPr>
            </w:pPr>
            <w:r w:rsidRPr="00744967">
              <w:rPr>
                <w:rFonts w:ascii="Cambria" w:hAnsi="Cambria"/>
                <w:bCs/>
                <w:sz w:val="22"/>
                <w:szCs w:val="16"/>
              </w:rPr>
              <w:t>autobus musi być przystosowany do zamontowania automatu do sprzedaży biletów;</w:t>
            </w:r>
          </w:p>
          <w:p w14:paraId="2F06C18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313C5B4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73865B7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33AAD114" w14:textId="0470495D" w:rsidR="00D06029" w:rsidRPr="00744967" w:rsidRDefault="00D06029" w:rsidP="00D06029">
            <w:pPr>
              <w:numPr>
                <w:ilvl w:val="0"/>
                <w:numId w:val="4"/>
              </w:numPr>
              <w:spacing w:after="0" w:line="240" w:lineRule="auto"/>
              <w:rPr>
                <w:rFonts w:ascii="Cambria" w:eastAsia="Times New Roman" w:hAnsi="Cambria" w:cs="Times New Roman"/>
                <w:bCs/>
                <w:sz w:val="24"/>
                <w:szCs w:val="18"/>
                <w:lang w:eastAsia="pl-PL"/>
              </w:rPr>
            </w:pPr>
            <w:r w:rsidRPr="00744967">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DB7B25" w:rsidRPr="00744967" w14:paraId="6713EF39" w14:textId="77777777" w:rsidTr="001C684D">
        <w:tc>
          <w:tcPr>
            <w:tcW w:w="379" w:type="dxa"/>
          </w:tcPr>
          <w:p w14:paraId="649C60B0"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 łączności radiowej</w:t>
            </w:r>
          </w:p>
        </w:tc>
        <w:tc>
          <w:tcPr>
            <w:tcW w:w="7588" w:type="dxa"/>
          </w:tcPr>
          <w:p w14:paraId="6002D0DF" w14:textId="3C38203F" w:rsidR="00D06029" w:rsidRPr="00744967" w:rsidRDefault="00D06029" w:rsidP="00D06029">
            <w:pPr>
              <w:pStyle w:val="Akapitzlist"/>
              <w:numPr>
                <w:ilvl w:val="0"/>
                <w:numId w:val="37"/>
              </w:numPr>
              <w:ind w:left="282"/>
              <w:rPr>
                <w:rFonts w:ascii="Cambria" w:hAnsi="Cambria"/>
                <w:sz w:val="22"/>
                <w:szCs w:val="22"/>
              </w:rPr>
            </w:pPr>
            <w:r w:rsidRPr="00744967">
              <w:rPr>
                <w:rFonts w:ascii="Cambria" w:hAnsi="Cambria"/>
                <w:sz w:val="22"/>
                <w:szCs w:val="22"/>
              </w:rPr>
              <w:t xml:space="preserve">szczegółowy opis wymagań dotyczących zamontowania w autobusach systemu łączności radiowej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918F72B" w14:textId="77777777" w:rsidTr="001C684D">
        <w:tc>
          <w:tcPr>
            <w:tcW w:w="379" w:type="dxa"/>
          </w:tcPr>
          <w:p w14:paraId="02CD535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Alko-blokada</w:t>
            </w:r>
          </w:p>
        </w:tc>
        <w:tc>
          <w:tcPr>
            <w:tcW w:w="7588" w:type="dxa"/>
          </w:tcPr>
          <w:p w14:paraId="09673EAE"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Theme="majorHAnsi" w:eastAsia="Times New Roman" w:hAnsiTheme="majorHAnsi" w:cs="Times New Roman"/>
                <w:lang w:eastAsia="pl-PL"/>
              </w:rPr>
              <w:t>autobus musi być wyposażony w urządzenie alko-blokady</w:t>
            </w:r>
            <w:r w:rsidRPr="00744967">
              <w:rPr>
                <w:rFonts w:ascii="Cambria" w:eastAsia="Times New Roman" w:hAnsi="Cambria" w:cs="Times New Roman"/>
                <w:lang w:eastAsia="pl-PL"/>
              </w:rPr>
              <w:t>:</w:t>
            </w:r>
          </w:p>
          <w:p w14:paraId="58DC4CC3" w14:textId="77777777" w:rsidR="00D06029" w:rsidRPr="00744967" w:rsidRDefault="00D06029" w:rsidP="00D06029">
            <w:pPr>
              <w:numPr>
                <w:ilvl w:val="0"/>
                <w:numId w:val="18"/>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uniemożliwiające uruchomienie silnika przez osoby pod wpływem alkoholu zarówno z miejsca kierowcy jak też dodatkowymi przyciskami serwisowymi np. w komorze silnika;</w:t>
            </w:r>
          </w:p>
          <w:p w14:paraId="1679AD7C" w14:textId="77777777" w:rsidR="00D06029" w:rsidRPr="00744967" w:rsidRDefault="00D06029" w:rsidP="00D06029">
            <w:pPr>
              <w:numPr>
                <w:ilvl w:val="0"/>
                <w:numId w:val="18"/>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55011CF3" w14:textId="77777777" w:rsidR="00D06029" w:rsidRPr="00744967" w:rsidRDefault="00D06029" w:rsidP="00D06029">
            <w:pPr>
              <w:keepNext/>
              <w:keepLines/>
              <w:spacing w:beforeLines="80" w:before="192" w:after="0" w:line="240" w:lineRule="auto"/>
              <w:contextualSpacing/>
              <w:jc w:val="both"/>
              <w:outlineLvl w:val="3"/>
              <w:rPr>
                <w:rFonts w:ascii="Cambria" w:eastAsia="Times New Roman" w:hAnsi="Cambria" w:cs="Times New Roman"/>
                <w:bCs/>
                <w:lang w:eastAsia="pl-PL"/>
              </w:rPr>
            </w:pPr>
            <w:r w:rsidRPr="00744967">
              <w:rPr>
                <w:rFonts w:ascii="Cambria" w:eastAsia="Times New Roman" w:hAnsi="Cambria" w:cs="Times New Roman"/>
                <w:bCs/>
                <w:lang w:eastAsia="pl-PL"/>
              </w:rPr>
              <w:t>Wymagania ogólne Alkoblokady:</w:t>
            </w:r>
          </w:p>
          <w:p w14:paraId="26C08B3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autobusy wyposażone będą w system uniemożliwiający uruchomienie pojazdu przez osoby znajdujące się pod wpływem alkoholu;</w:t>
            </w:r>
          </w:p>
          <w:p w14:paraId="43AA91C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urządzenie systemowe posiadać będzie analizator wydechu i jednostkę sterującą rozruchem silnika autobusu;</w:t>
            </w:r>
          </w:p>
          <w:p w14:paraId="01A676D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6A2A459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72BC74C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42D8706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045BDF61"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Zainicjowanie procesu zmiany prowadzących pojazd (użycie przycisku „zmiana” na sterowniku KP);</w:t>
            </w:r>
          </w:p>
          <w:p w14:paraId="5395512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Wylogowanie prowadzącego pojazd;</w:t>
            </w:r>
          </w:p>
          <w:p w14:paraId="2257E306"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Zdalna ponowna aktywacja systemu za pośrednictwem interfejsu.</w:t>
            </w:r>
          </w:p>
          <w:p w14:paraId="20AD0F1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rejestrował będzie istotne dla Zamawiającego parametry i zdarzenia, w tym użycie, wynik pomiaru, nieuprawnioną ingerencję;</w:t>
            </w:r>
          </w:p>
          <w:p w14:paraId="2A28716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6C93F91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03C73A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0D20D52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3F9F235F" w14:textId="77777777" w:rsidR="00D06029" w:rsidRPr="00744967" w:rsidRDefault="00D06029" w:rsidP="00D06029">
            <w:pPr>
              <w:spacing w:beforeLines="80" w:before="192" w:after="0" w:line="240" w:lineRule="auto"/>
              <w:contextualSpacing/>
              <w:jc w:val="both"/>
              <w:rPr>
                <w:rFonts w:ascii="Cambria" w:eastAsia="Times New Roman" w:hAnsi="Cambria" w:cs="Times New Roman"/>
                <w:bCs/>
                <w:lang w:eastAsia="ar-SA"/>
              </w:rPr>
            </w:pPr>
            <w:r w:rsidRPr="00744967">
              <w:rPr>
                <w:rFonts w:ascii="Cambria" w:eastAsia="Times New Roman" w:hAnsi="Cambria" w:cs="Times New Roman"/>
                <w:bCs/>
                <w:lang w:eastAsia="ar-SA"/>
              </w:rPr>
              <w:t>Wymagania dot. zarządzania systemem Alkoblokady.</w:t>
            </w:r>
          </w:p>
          <w:p w14:paraId="571CCF4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oparty będzie o otwarte dla Zamawiającego interfejsy, także w formie udostępnienia Zamawiającemu API, zarówno w zakresie możliwości skomunikowania urządzeń systemowych z innymi autobusowymi systemami </w:t>
            </w:r>
            <w:r w:rsidRPr="00744967">
              <w:rPr>
                <w:rFonts w:ascii="Cambria" w:eastAsia="Times New Roman" w:hAnsi="Cambria" w:cs="Times New Roman"/>
                <w:lang w:eastAsia="pl-PL"/>
              </w:rPr>
              <w:lastRenderedPageBreak/>
              <w:t>pokładowymi, jak i w zakresie dwukierunkowej komunikacji on-line i zarządzania systemem z wykorzystaniem interfejsu użytkownika;</w:t>
            </w:r>
          </w:p>
          <w:p w14:paraId="0749840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dwukierunkowa komunikacja i zarządzanie systemem odbywać się będzie w środowisku informatycznym Zamawiającego;</w:t>
            </w:r>
          </w:p>
          <w:p w14:paraId="2A59FB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udostępni niezbędną do wdrożenia systemu infrastrukturę informatyczną, w tym zasoby serwerowe, dostępy VPN;</w:t>
            </w:r>
          </w:p>
          <w:p w14:paraId="5919B3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A0D0AC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Poprzez interfejs użytkownika będzie można min.:</w:t>
            </w:r>
          </w:p>
          <w:p w14:paraId="7162F4E4"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zidentyfikować urządzenie systemowe zgodnie z miejscem instalacji;</w:t>
            </w:r>
          </w:p>
          <w:p w14:paraId="7C59BA0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stanach urządzeń systemowych, w tym stan systemu przy ostatnim uruchomieniu pojazdu, aktualny stan systemu;</w:t>
            </w:r>
          </w:p>
          <w:p w14:paraId="19435BDE"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482810B7"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53DE1002" w14:textId="441617BE"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ar-SA"/>
              </w:rPr>
              <w:t>dokonać ponownej aktywacji urządzeń systemowych.</w:t>
            </w:r>
          </w:p>
        </w:tc>
      </w:tr>
      <w:tr w:rsidR="00DB7B25" w:rsidRPr="00744967" w14:paraId="675E86EF" w14:textId="77777777" w:rsidTr="001C684D">
        <w:tc>
          <w:tcPr>
            <w:tcW w:w="379" w:type="dxa"/>
          </w:tcPr>
          <w:p w14:paraId="4D8D18BC" w14:textId="77777777" w:rsidR="00457760" w:rsidRPr="00744967"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4FFB6C86" w:rsidR="00457760" w:rsidRPr="00744967" w:rsidRDefault="00457760" w:rsidP="007B18F8">
            <w:pPr>
              <w:spacing w:after="0" w:line="240" w:lineRule="auto"/>
              <w:rPr>
                <w:rFonts w:ascii="Cambria" w:eastAsia="Times New Roman" w:hAnsi="Cambria" w:cs="Times New Roman"/>
                <w:lang w:eastAsia="pl-PL"/>
              </w:rPr>
            </w:pPr>
            <w:r w:rsidRPr="00744967">
              <w:rPr>
                <w:rFonts w:ascii="Cambria" w:eastAsia="Times New Roman" w:hAnsi="Cambria" w:cs="Times New Roman"/>
                <w:bCs/>
                <w:szCs w:val="18"/>
                <w:lang w:eastAsia="pl-PL"/>
              </w:rPr>
              <w:t xml:space="preserve">Panele </w:t>
            </w:r>
            <w:r w:rsidR="000A435B" w:rsidRPr="00744967">
              <w:rPr>
                <w:rFonts w:ascii="Cambria" w:eastAsia="Times New Roman" w:hAnsi="Cambria" w:cs="Times New Roman"/>
                <w:bCs/>
                <w:szCs w:val="18"/>
                <w:lang w:eastAsia="pl-PL"/>
              </w:rPr>
              <w:t>fotowoltaiczne,</w:t>
            </w:r>
            <w:r w:rsidR="0000227B" w:rsidRPr="00744967">
              <w:rPr>
                <w:rFonts w:ascii="Cambria" w:eastAsia="Times New Roman" w:hAnsi="Cambria" w:cs="Times New Roman"/>
                <w:bCs/>
                <w:szCs w:val="18"/>
                <w:lang w:eastAsia="pl-PL"/>
              </w:rPr>
              <w:t xml:space="preserve"> jeśli wystąpią*</w:t>
            </w:r>
          </w:p>
        </w:tc>
        <w:tc>
          <w:tcPr>
            <w:tcW w:w="7588" w:type="dxa"/>
          </w:tcPr>
          <w:p w14:paraId="073A6C6F" w14:textId="05F85E80" w:rsidR="00457760" w:rsidRPr="00744967" w:rsidRDefault="000A435B" w:rsidP="00DB7B25">
            <w:pPr>
              <w:pStyle w:val="Akapitzlist"/>
              <w:numPr>
                <w:ilvl w:val="0"/>
                <w:numId w:val="38"/>
              </w:numPr>
              <w:ind w:left="282" w:hanging="282"/>
              <w:jc w:val="both"/>
              <w:rPr>
                <w:rFonts w:ascii="Cambria" w:hAnsi="Cambria"/>
                <w:sz w:val="22"/>
                <w:szCs w:val="22"/>
              </w:rPr>
            </w:pPr>
            <w:r w:rsidRPr="00744967">
              <w:rPr>
                <w:rFonts w:ascii="Cambria" w:hAnsi="Cambria"/>
                <w:bCs/>
                <w:sz w:val="22"/>
                <w:szCs w:val="22"/>
              </w:rPr>
              <w:t>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r w:rsidR="00DB7B25" w:rsidRPr="00744967" w14:paraId="44C7EEB8" w14:textId="77777777" w:rsidTr="001C684D">
        <w:tc>
          <w:tcPr>
            <w:tcW w:w="379" w:type="dxa"/>
          </w:tcPr>
          <w:p w14:paraId="630A4BE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6C1872A" w14:textId="77777777"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 xml:space="preserve">Autonomiczność – systemy zautomatyzowanej jazdy </w:t>
            </w:r>
          </w:p>
          <w:p w14:paraId="1D0F261A" w14:textId="45F78A97" w:rsidR="00D06029" w:rsidRPr="00744967" w:rsidRDefault="00D06029" w:rsidP="00D06029">
            <w:pPr>
              <w:spacing w:after="0" w:line="240" w:lineRule="auto"/>
              <w:rPr>
                <w:rFonts w:ascii="Cambria" w:eastAsia="Times New Roman" w:hAnsi="Cambria" w:cs="Times New Roman"/>
                <w:bCs/>
                <w:szCs w:val="18"/>
                <w:lang w:eastAsia="pl-PL"/>
              </w:rPr>
            </w:pPr>
          </w:p>
        </w:tc>
        <w:tc>
          <w:tcPr>
            <w:tcW w:w="7588" w:type="dxa"/>
          </w:tcPr>
          <w:p w14:paraId="09DA70B1" w14:textId="06D97C38"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Pojazd musi zostać doposażony w systemy autonomicznej jazdy zapewniającej samodzielne, bezpieczne i efektywne poruszanie się po terenie zajezdni bez konieczności przebywania kierowcy za kierownicą autobusu. Pojazd powinien mieć zainstalowane do wyboru dwa tryby poruszania się: klasyczny z kierowcą (w</w:t>
            </w:r>
            <w:r w:rsidR="000A435B" w:rsidRPr="00744967">
              <w:rPr>
                <w:rFonts w:ascii="Cambria" w:eastAsia="Times New Roman" w:hAnsi="Cambria" w:cs="Times New Roman"/>
                <w:lang w:eastAsia="pl-PL"/>
              </w:rPr>
              <w:t> </w:t>
            </w:r>
            <w:r w:rsidRPr="00744967">
              <w:rPr>
                <w:rFonts w:ascii="Cambria" w:eastAsia="Times New Roman" w:hAnsi="Cambria" w:cs="Times New Roman"/>
                <w:lang w:eastAsia="pl-PL"/>
              </w:rPr>
              <w:t xml:space="preserve">normalnej eksploatacji w ruchu miejskim) i autonomiczny bez kierowcy. System autonomiczny po wybraniu tego trybu może działać wyłącznie na określonym terenie (przestrzeni) zamkniętym, bez wyjazdu na drogi publiczne. </w:t>
            </w:r>
          </w:p>
          <w:p w14:paraId="1C21DA5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 Wymagania co do funkcjonalności działania systemu zautomatyzowanej jazdy: </w:t>
            </w:r>
          </w:p>
          <w:p w14:paraId="59C2239B"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uruchomienie, zainicjowanie jazdy autonomicznej nastąpi jako realizacja polecenia dyspozytora w sposób zdalny z wykorzystaniem aplikacji (oprogramowania) zainstalowanej na stanowisku dyspozytorskim (nadawczej) oraz zainstalowanej w autobusie (odbiorczej);</w:t>
            </w:r>
          </w:p>
          <w:p w14:paraId="07DCCFA6" w14:textId="5D9ABA04"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umożliwienie jazdy autobusu w trybie autonomicznym nastąpić powinno po uruchomieniu trybu autonomii w pojeździe przez obsługę, kierowcę lub upoważnioną osobę przed wyjściem z pojazdu, poprzez przełączenie odpowiedniego przycisku na pulpicie kierowcy, jest to warunek </w:t>
            </w:r>
            <w:r w:rsidR="000A435B" w:rsidRPr="00744967">
              <w:rPr>
                <w:rFonts w:ascii="Cambria" w:hAnsi="Cambria"/>
                <w:sz w:val="22"/>
                <w:szCs w:val="22"/>
              </w:rPr>
              <w:t>konieczny,</w:t>
            </w:r>
            <w:r w:rsidRPr="00744967">
              <w:rPr>
                <w:rFonts w:ascii="Cambria" w:hAnsi="Cambria"/>
                <w:sz w:val="22"/>
                <w:szCs w:val="22"/>
              </w:rPr>
              <w:t xml:space="preserve"> aby dyspozytor mógł zainicjować jazdę; </w:t>
            </w:r>
          </w:p>
          <w:p w14:paraId="3D16BAB8"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poprzez wciśnięcie przycisku w pojeździe, w aplikacji dyspozytorskiej uaktywni się gotowość autobusu do przejęcia kierowania nim (pojazd zostanie uwidoczniony jako gotowy do jazdy samodzielnie), dyspozytor dostanie informację o dokładnej lokalizacji pojazdu na terenie zajezdni; </w:t>
            </w:r>
          </w:p>
          <w:p w14:paraId="2C05ED27"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lastRenderedPageBreak/>
              <w:t xml:space="preserve">przycisk aktywujący odpowiednio zabezpieczony i oznaczony przed przypadkowym włączeniem, włączenie przypadkowe poza terenem zajezdni nie może uaktywnić funkcji autonomiczności; </w:t>
            </w:r>
          </w:p>
          <w:p w14:paraId="7A67AF81"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w momencie pojawienia się pojazdu w aplikacji dyspozytorskiej, dyspozytor otrzyma podgląd obrazu z kamer zainstalowanych na/w autobusie w tym podgląd kamery przedniej, tylnej i bocznych; </w:t>
            </w:r>
          </w:p>
          <w:p w14:paraId="76C4ECDC"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dyspozytor poprzez aplikację aktywuje wszystkie systemy autobusowe konieczne i niezbędne do ruszenia pojazdu (zwolnienie hamulców, uruchomienie pojazdu, włączenie świateł, włączenie świateł sygnalizujących jazdę w trybie autonomicznym itp.); </w:t>
            </w:r>
          </w:p>
          <w:p w14:paraId="7BBF9DA4"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poruszanie się autobusu po terenie zajezdni (bez obecności kierowcy w pojeździe), będzie realizowane w poniższych celach do nw obiektów: </w:t>
            </w:r>
          </w:p>
          <w:p w14:paraId="010FA82C" w14:textId="6FDD68C4"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od bramy wjazdowej (okolic dyspozytorni) na </w:t>
            </w:r>
            <w:r w:rsidR="000A435B" w:rsidRPr="00744967">
              <w:rPr>
                <w:rFonts w:ascii="Cambria" w:hAnsi="Cambria"/>
                <w:sz w:val="22"/>
                <w:szCs w:val="22"/>
              </w:rPr>
              <w:t>terenie zajezdni</w:t>
            </w:r>
            <w:r w:rsidRPr="00744967">
              <w:rPr>
                <w:rFonts w:ascii="Cambria" w:hAnsi="Cambria"/>
                <w:sz w:val="22"/>
                <w:szCs w:val="22"/>
              </w:rPr>
              <w:t xml:space="preserve"> do miejsca postojowego, </w:t>
            </w:r>
          </w:p>
          <w:p w14:paraId="50B362BF" w14:textId="24D8025D"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od miejsca postojowego </w:t>
            </w:r>
            <w:r w:rsidR="000A435B" w:rsidRPr="00744967">
              <w:rPr>
                <w:rFonts w:ascii="Cambria" w:hAnsi="Cambria"/>
                <w:sz w:val="22"/>
                <w:szCs w:val="22"/>
              </w:rPr>
              <w:t>do bramy</w:t>
            </w:r>
            <w:r w:rsidRPr="00744967">
              <w:rPr>
                <w:rFonts w:ascii="Cambria" w:hAnsi="Cambria"/>
                <w:sz w:val="22"/>
                <w:szCs w:val="22"/>
              </w:rPr>
              <w:t xml:space="preserve"> zajezdni (okolice dyspozytorni),</w:t>
            </w:r>
          </w:p>
          <w:p w14:paraId="0CE00D29" w14:textId="77777777"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z okolic dyspozytorni pod wskazane miejsca obsługi: przed halę myjni, przed halę obsług technicznych, przed halę przeglądów SKP oraz wyjazdu z tych obiektów i dojazdu do swego miejsca postojowego, wjazd do pomieszczeń nie będzie możliwy w trybie autonomicznym; zalecane jest przygotowanie systemu zautomatyzowanej jazdy do funkcjonowania w parkingu podziemnym (wjazd po torze z nachyleniem do hali garażowej lub wyjazd), przystosowanym do garażowania autobusów z ściśle wydzielonymi miejscami postojowymi, koniecznym jest przygotowanie systemu w autobusie, do możliwości zapisania w pamięci, rozkładu (planów sytuacyjnych, projektów budowlanych itp. ) parkingu podziemnego wraz z wszystkimi ciągami komunikacyjnymi; </w:t>
            </w:r>
          </w:p>
          <w:p w14:paraId="0A659FAF"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musi umożliwiać autonomiczne zaparkowanie pojazdu na swoim miejscu postojowym w sposób prostopadły lub skośny; </w:t>
            </w:r>
          </w:p>
          <w:p w14:paraId="77ABC27B" w14:textId="6460D83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powinien umożliwiać zapisanie standardowych (najczęściej wykonywanych) tras przejazdu autobusu na terenie zajezdni i mieć możliwość ich wyboru z „pamięci” lub „historii” wykonanych jazd, system musi umożliwiać „uczenie” nowych </w:t>
            </w:r>
            <w:r w:rsidR="000A435B" w:rsidRPr="00744967">
              <w:rPr>
                <w:rFonts w:ascii="Cambria" w:hAnsi="Cambria"/>
                <w:sz w:val="22"/>
                <w:szCs w:val="22"/>
              </w:rPr>
              <w:t>tras,</w:t>
            </w:r>
            <w:r w:rsidRPr="00744967">
              <w:rPr>
                <w:rFonts w:ascii="Cambria" w:hAnsi="Cambria"/>
                <w:sz w:val="22"/>
                <w:szCs w:val="22"/>
              </w:rPr>
              <w:t xml:space="preserve"> czyli zapisywanie ich w pamięci; </w:t>
            </w:r>
          </w:p>
          <w:p w14:paraId="1350D495"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realizując przejazd autonomiczny zgodnie z wyznaczoną trasą, monitoruje ją z odpowiednim wyprzedzeniem, wykrywa przeszkody i w razie potrzeby zatrzymuje pojazd; w aplikacji dyspozytora pojawia się informacja o przeszkodach, dalsza jazda jest możliwa po usunięciu przeszkody; </w:t>
            </w:r>
          </w:p>
          <w:p w14:paraId="1EF82130"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 system autonomiczny musi posiadać  w pamięci zeskanowany teren zajezdni lub korzystający z danych satelitarnych, z odpowiednio oznaczonymi wewnętrznymi drogami  dojazdowymi, miejscami postojowymi, wszystkimi miejscami parkingowymi rozkładem budynków na terenie zajezdni, w przypadku konieczności poruszania się w przestrzeni z brakiem łączności satelitarnej, koniecznym jest wykorzystanie innych kanałów przesyłania danych (sieci wewnętrznych) lub planów sytuacyjnych terenu, projektów budowlanych,  zapisanych w pamięci schematów automatycznie zastępujących przerwy w nawigacji satelitarnej lub innym oznakowaniu terenu umożliwiającym odczytywanie położenia przez system w autobusie; </w:t>
            </w:r>
          </w:p>
          <w:p w14:paraId="301DE5BC"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dyspozytor w każdym momencie może przerwać jazdę autonomiczną realizowaną z pamięci zapisanej trasy, zatrzymać pojazd i wyłączyć funkcję autonomicznej jazdy; </w:t>
            </w:r>
          </w:p>
          <w:p w14:paraId="06033917"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każdorazowo po zakończeniu autonomicznej jazdy pojazd musi zostać zabezpieczony w sposób uniemożliwiający jego przemieszczenie się samoczynne (np., stoczenie się), musi nastąpić wyłączenie wszystkich </w:t>
            </w:r>
            <w:r w:rsidRPr="00744967">
              <w:rPr>
                <w:rFonts w:ascii="Cambria" w:hAnsi="Cambria"/>
                <w:sz w:val="22"/>
                <w:szCs w:val="22"/>
              </w:rPr>
              <w:lastRenderedPageBreak/>
              <w:t xml:space="preserve">systemów pojazdowych na czas postoju (światła, ogrzewanie, zasilanie elektryczne itp.); </w:t>
            </w:r>
          </w:p>
          <w:p w14:paraId="44B1C806"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wyłączenie pojazdu z możliwości stosowania jazdy autonomicznej powinno nastąpić poprzez wyłączenie trybu autonomii w pojeździe przez kierowcę rozpoczynającego pracę lub inne osoby obsługi (np. wjeżdżające do hali napraw, do myjni), wtedy na stanowisku dyspozytorskim w aplikacji „znika” ten autobus z możliwości realizowania jazdy autonomicznej, tryb jazy autonomicznej sygnalizowany na pulpicie kierowcy w postaci komunikatów; </w:t>
            </w:r>
          </w:p>
          <w:p w14:paraId="73536F82" w14:textId="77777777" w:rsidR="00D06029" w:rsidRPr="00744967" w:rsidRDefault="00D06029" w:rsidP="00D06029">
            <w:pPr>
              <w:pStyle w:val="Akapitzlist"/>
              <w:numPr>
                <w:ilvl w:val="0"/>
                <w:numId w:val="6"/>
              </w:numPr>
              <w:jc w:val="both"/>
              <w:rPr>
                <w:rFonts w:ascii="Cambria" w:hAnsi="Cambria"/>
                <w:strike/>
                <w:sz w:val="22"/>
                <w:szCs w:val="22"/>
              </w:rPr>
            </w:pPr>
            <w:r w:rsidRPr="00744967">
              <w:rPr>
                <w:rFonts w:ascii="Cambria" w:hAnsi="Cambria"/>
                <w:sz w:val="22"/>
                <w:szCs w:val="22"/>
              </w:rPr>
              <w:t xml:space="preserve">system poprzez zastosowane urządzenia, sensory, radary, lidary, czujniki, kamery i inne elementy, musi umożliwiać funkcjonowanie w każdych warunkach atmosferycznych i o każdej porze dnia; </w:t>
            </w:r>
          </w:p>
          <w:p w14:paraId="62E9CC8E"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działanie systemu musi zostać zawieszone (np. poprzez komunikat w aplikacji dyspozytorskiej) w przypadku uszkodzenia jednego z jego elementów składowych (kamery, czujniki, sensory itp.); </w:t>
            </w:r>
          </w:p>
          <w:p w14:paraId="3E594704" w14:textId="45516B8C"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autobusy z systemem autonomicznej jazdy będą parkowane w określonych wydzielonych miejscach na stałe przypisanych (dla całej grupy pojazdów autonomicznych</w:t>
            </w:r>
            <w:r w:rsidR="000A435B" w:rsidRPr="00744967">
              <w:rPr>
                <w:rFonts w:ascii="Cambria" w:hAnsi="Cambria"/>
                <w:sz w:val="22"/>
                <w:szCs w:val="22"/>
              </w:rPr>
              <w:t>), również</w:t>
            </w:r>
            <w:r w:rsidRPr="00744967">
              <w:rPr>
                <w:rFonts w:ascii="Cambria" w:hAnsi="Cambria"/>
                <w:sz w:val="22"/>
                <w:szCs w:val="22"/>
              </w:rPr>
              <w:t xml:space="preserve"> przejazdy standardowe (codzienne) realizowane będą tymi samymi trasami;  </w:t>
            </w:r>
          </w:p>
          <w:p w14:paraId="02063FB8"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dyspozytor musi mieć możliwość ręcznego skorygowania zapisanej trasy przejazdu w sytuacjach awaryjnych; </w:t>
            </w:r>
          </w:p>
          <w:p w14:paraId="44C73276" w14:textId="71A69CAC"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system musi wykorzystywać dwukierunkowe przekazywanie informacji o</w:t>
            </w:r>
            <w:r w:rsidR="000A435B" w:rsidRPr="00744967">
              <w:rPr>
                <w:rFonts w:ascii="Cambria" w:hAnsi="Cambria"/>
                <w:sz w:val="22"/>
                <w:szCs w:val="22"/>
              </w:rPr>
              <w:t> </w:t>
            </w:r>
            <w:r w:rsidRPr="00744967">
              <w:rPr>
                <w:rFonts w:ascii="Cambria" w:hAnsi="Cambria"/>
                <w:sz w:val="22"/>
                <w:szCs w:val="22"/>
              </w:rPr>
              <w:t xml:space="preserve">autobusie (danych telemetrycznych) do aplikacji obsługiwanej przez dyspozytora w czasie rzeczywistym, pokładowe wyposażenie automatycznego sterowania musi opierać się na poleceniach dyspozytora (dyspozytor cały czas widzi na mapie aplikacji pojazd), również z aplikacji dyspozytorskiej dane muszą być wysyłane w czasie rzeczywistym z wykorzystaniem co najmniej dwóch kanałów przesyłu danych wzajemnie się dublujących; </w:t>
            </w:r>
          </w:p>
          <w:p w14:paraId="28E7B0B0" w14:textId="12AFDEC5" w:rsidR="00D06029" w:rsidRPr="00744967" w:rsidRDefault="000A435B" w:rsidP="00D06029">
            <w:pPr>
              <w:pStyle w:val="Akapitzlist"/>
              <w:numPr>
                <w:ilvl w:val="0"/>
                <w:numId w:val="6"/>
              </w:numPr>
              <w:jc w:val="both"/>
              <w:rPr>
                <w:rFonts w:ascii="Cambria" w:hAnsi="Cambria"/>
                <w:sz w:val="22"/>
                <w:szCs w:val="22"/>
              </w:rPr>
            </w:pPr>
            <w:r w:rsidRPr="00744967">
              <w:rPr>
                <w:rFonts w:ascii="Cambria" w:hAnsi="Cambria"/>
                <w:sz w:val="22"/>
                <w:szCs w:val="22"/>
              </w:rPr>
              <w:t>system musi</w:t>
            </w:r>
            <w:r w:rsidR="00D06029" w:rsidRPr="00744967">
              <w:rPr>
                <w:rFonts w:ascii="Cambria" w:hAnsi="Cambria"/>
                <w:sz w:val="22"/>
                <w:szCs w:val="22"/>
              </w:rPr>
              <w:t xml:space="preserve"> być wyposażony w „czarną skrzynkę” </w:t>
            </w:r>
            <w:r w:rsidRPr="00744967">
              <w:rPr>
                <w:rFonts w:ascii="Cambria" w:hAnsi="Cambria"/>
                <w:sz w:val="22"/>
                <w:szCs w:val="22"/>
              </w:rPr>
              <w:t>rejestrującą i </w:t>
            </w:r>
            <w:r w:rsidR="00D06029" w:rsidRPr="00744967">
              <w:rPr>
                <w:rFonts w:ascii="Cambria" w:hAnsi="Cambria"/>
                <w:sz w:val="22"/>
                <w:szCs w:val="22"/>
              </w:rPr>
              <w:t xml:space="preserve">przechowywującą dane telemetryczne podczas działania systemu autonomicznego; </w:t>
            </w:r>
          </w:p>
          <w:p w14:paraId="5B7215EB" w14:textId="619D28C3"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musi być wyposażony i odpowiednio skonfigurowany w elementy składowe, urządzenia pokładowe i </w:t>
            </w:r>
            <w:r w:rsidR="000A435B" w:rsidRPr="00744967">
              <w:rPr>
                <w:rFonts w:ascii="Cambria" w:hAnsi="Cambria"/>
                <w:sz w:val="22"/>
                <w:szCs w:val="22"/>
              </w:rPr>
              <w:t>zajezdniowe zapewniające</w:t>
            </w:r>
            <w:r w:rsidRPr="00744967">
              <w:rPr>
                <w:rFonts w:ascii="Cambria" w:hAnsi="Cambria"/>
                <w:sz w:val="22"/>
                <w:szCs w:val="22"/>
              </w:rPr>
              <w:t xml:space="preserve"> bezpieczną i bezkolizyjną autonomiczną jazdę na terenie </w:t>
            </w:r>
            <w:r w:rsidR="000A435B" w:rsidRPr="00744967">
              <w:rPr>
                <w:rFonts w:ascii="Cambria" w:hAnsi="Cambria"/>
                <w:sz w:val="22"/>
                <w:szCs w:val="22"/>
              </w:rPr>
              <w:t>zajezdni, zdolne</w:t>
            </w:r>
            <w:r w:rsidRPr="00744967">
              <w:rPr>
                <w:rFonts w:ascii="Cambria" w:hAnsi="Cambria"/>
                <w:sz w:val="22"/>
                <w:szCs w:val="22"/>
              </w:rPr>
              <w:t xml:space="preserve"> wykrywać i unikać kolizji z nadjeżdżającymi innymi pojazdami oraz osobami postronnymi znajdującymi się na terenie placu postojowego; </w:t>
            </w:r>
          </w:p>
          <w:p w14:paraId="42BFCB3C"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w przypadku awarii systemu, niewystarczających sygnałów z czujników uniemożliwiających dalszą jazdę itp. pojazd powinien się zatrzymać i nie kontynuować dalszej jazdy, po zatrzymaniu autobusu w wyniku ww. okoliczności w aplikacji dyspozytorskiej oraz na zewnętrznych tablicach informacji liniowej powinny pojawić się komunikaty o zatrzymaniu pracy systemu autonomicznego;</w:t>
            </w:r>
          </w:p>
          <w:p w14:paraId="52E4A818" w14:textId="7CC2EEF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w czasie działania przejmuje sterowanie parametrami jazdy pojazdu </w:t>
            </w:r>
            <w:r w:rsidR="000A435B" w:rsidRPr="00744967">
              <w:rPr>
                <w:rFonts w:ascii="Cambria" w:hAnsi="Cambria"/>
                <w:sz w:val="22"/>
                <w:szCs w:val="22"/>
              </w:rPr>
              <w:t>(dostosowuje</w:t>
            </w:r>
            <w:r w:rsidRPr="00744967">
              <w:rPr>
                <w:rFonts w:ascii="Cambria" w:hAnsi="Cambria"/>
                <w:sz w:val="22"/>
                <w:szCs w:val="22"/>
              </w:rPr>
              <w:t xml:space="preserve"> prędkość, siłę hamowania, przyspieszenie itp.), </w:t>
            </w:r>
          </w:p>
          <w:p w14:paraId="29117EC1"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 system musi umożliwiać poruszanie się pojazdem (kierowanie pojazdem) zarówno przy jeździe na wprost jak i jazdę po łuku, w zakrętach; </w:t>
            </w:r>
          </w:p>
          <w:p w14:paraId="1F388A62" w14:textId="579F4E05"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samodzielne, bez udziału kierowcy realizowane przez dyspozytora w trybie </w:t>
            </w:r>
            <w:r w:rsidR="000A435B" w:rsidRPr="00744967">
              <w:rPr>
                <w:rFonts w:ascii="Cambria" w:hAnsi="Cambria"/>
                <w:sz w:val="22"/>
                <w:szCs w:val="22"/>
              </w:rPr>
              <w:t>autonomicznym przejazdy</w:t>
            </w:r>
            <w:r w:rsidRPr="00744967">
              <w:rPr>
                <w:rFonts w:ascii="Cambria" w:hAnsi="Cambria"/>
                <w:sz w:val="22"/>
                <w:szCs w:val="22"/>
              </w:rPr>
              <w:t xml:space="preserve"> mogą odbywać się z prędkością max 5 km/h, </w:t>
            </w:r>
          </w:p>
          <w:p w14:paraId="57218407" w14:textId="3F0A1693" w:rsidR="00D06029" w:rsidRPr="00744967" w:rsidRDefault="000A435B" w:rsidP="00D06029">
            <w:pPr>
              <w:pStyle w:val="Akapitzlist"/>
              <w:numPr>
                <w:ilvl w:val="0"/>
                <w:numId w:val="6"/>
              </w:numPr>
              <w:jc w:val="both"/>
              <w:rPr>
                <w:rFonts w:ascii="Cambria" w:hAnsi="Cambria"/>
                <w:sz w:val="22"/>
                <w:szCs w:val="22"/>
              </w:rPr>
            </w:pPr>
            <w:r w:rsidRPr="00744967">
              <w:rPr>
                <w:rFonts w:ascii="Cambria" w:hAnsi="Cambria"/>
                <w:sz w:val="22"/>
                <w:szCs w:val="22"/>
              </w:rPr>
              <w:t>pojazd umożliwiający</w:t>
            </w:r>
            <w:r w:rsidR="00D06029" w:rsidRPr="00744967">
              <w:rPr>
                <w:rFonts w:ascii="Cambria" w:hAnsi="Cambria"/>
                <w:sz w:val="22"/>
                <w:szCs w:val="22"/>
              </w:rPr>
              <w:t xml:space="preserve"> jazdy autonomiczne powinien być wyposażony w światła pozycyjne LED barwy turkusowej z przodu i z tyłu pojazdu oraz obrysowe, włączające się na czas działania </w:t>
            </w:r>
            <w:r w:rsidRPr="00744967">
              <w:rPr>
                <w:rFonts w:ascii="Cambria" w:hAnsi="Cambria"/>
                <w:sz w:val="22"/>
                <w:szCs w:val="22"/>
              </w:rPr>
              <w:t>trybu pełnej</w:t>
            </w:r>
            <w:r w:rsidR="00D06029" w:rsidRPr="00744967">
              <w:rPr>
                <w:rFonts w:ascii="Cambria" w:hAnsi="Cambria"/>
                <w:sz w:val="22"/>
                <w:szCs w:val="22"/>
              </w:rPr>
              <w:t xml:space="preserve"> autonomiki, celem łatwej identyfikacji pojazdu przez innych kierowców oraz osoby postronne; </w:t>
            </w:r>
          </w:p>
          <w:p w14:paraId="3BD2E3C0" w14:textId="778ED330"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 xml:space="preserve"> system powinien być zgodny z regulaminami EKG ONZ nr 155 i nr 156, powinien wykorzystywać szyfrowanie przesyłanych danych, powinien umożliwiać </w:t>
            </w:r>
            <w:r w:rsidR="000A435B" w:rsidRPr="00744967">
              <w:rPr>
                <w:rFonts w:ascii="Cambria" w:eastAsia="Times New Roman" w:hAnsi="Cambria" w:cs="Times New Roman"/>
                <w:lang w:eastAsia="pl-PL"/>
              </w:rPr>
              <w:t>autoryzację realizacji</w:t>
            </w:r>
            <w:r w:rsidRPr="00744967">
              <w:rPr>
                <w:rFonts w:ascii="Cambria" w:eastAsia="Times New Roman" w:hAnsi="Cambria" w:cs="Times New Roman"/>
                <w:lang w:eastAsia="pl-PL"/>
              </w:rPr>
              <w:t xml:space="preserve"> komend; </w:t>
            </w:r>
          </w:p>
          <w:p w14:paraId="2478031C" w14:textId="0CC3EA4D"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musi spełniać przepisy w zakresie bezpieczeństwa funkcjonalnego (np., ISO 26262, SOTIF), AI i etyki sztucznej inteligencji (ISO/IEC 24029-1) i inne obowiązujące </w:t>
            </w:r>
            <w:r w:rsidR="000A435B" w:rsidRPr="00744967">
              <w:rPr>
                <w:rFonts w:ascii="Cambria" w:eastAsia="Times New Roman" w:hAnsi="Cambria" w:cs="Times New Roman"/>
                <w:lang w:eastAsia="pl-PL"/>
              </w:rPr>
              <w:t>oraz mające</w:t>
            </w:r>
            <w:r w:rsidRPr="00744967">
              <w:rPr>
                <w:rFonts w:ascii="Cambria" w:eastAsia="Times New Roman" w:hAnsi="Cambria" w:cs="Times New Roman"/>
                <w:lang w:eastAsia="pl-PL"/>
              </w:rPr>
              <w:t xml:space="preserve"> potencjalnie wejść w życie w trakcie realizacji zamówienia; </w:t>
            </w:r>
          </w:p>
          <w:p w14:paraId="2B1C1227" w14:textId="77777777"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musi spełniać Rozporządzenie Parlamentu Europejskiego i Rady (UE) 2019/881 z dnia 17 kwietnia 2019 r. w sprawie ENISA oraz certyfikacji cyberbezpieczeństwa w zakresie technologii informacyjno-komunikacyjnych oraz Rozporządzenia (UE) nr 526/2013 (akt o cyberbezpieczeństwie);</w:t>
            </w:r>
          </w:p>
          <w:p w14:paraId="6EF138DC" w14:textId="78F01B5A"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spełnianie Rozporządzenia parlamentu Europejskiego i Rady (UE) 2016/679 z dnia 27 kwietnia 2016 r. w sprawie ochrony osób fizycznych w </w:t>
            </w:r>
            <w:r w:rsidR="000A435B" w:rsidRPr="00744967">
              <w:rPr>
                <w:rFonts w:ascii="Cambria" w:eastAsia="Times New Roman" w:hAnsi="Cambria" w:cs="Times New Roman"/>
                <w:lang w:eastAsia="pl-PL"/>
              </w:rPr>
              <w:t>związku z</w:t>
            </w:r>
            <w:r w:rsidRPr="00744967">
              <w:rPr>
                <w:rFonts w:ascii="Cambria" w:eastAsia="Times New Roman" w:hAnsi="Cambria" w:cs="Times New Roman"/>
                <w:lang w:eastAsia="pl-PL"/>
              </w:rPr>
              <w:t xml:space="preserve"> przetwarzaniem danych osobowych i w sprawie swobodnego przepływu takich danych – zalecane; </w:t>
            </w:r>
          </w:p>
          <w:p w14:paraId="371F2FD5" w14:textId="049A0256"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zalecane spełnianie Rozporządzenia parlamentu Europejskiego i Rady (UE) 2019/2144 z dnia 27 listopada 2019 r. w sprawie wymogów dotyczących homologacji typu pojazdów silnikowych i ich przyczep oraz układów, komponentów i oddzielnych zespołów technicznych przeznaczonych do tych pojazdów, w </w:t>
            </w:r>
            <w:r w:rsidR="000A435B" w:rsidRPr="00744967">
              <w:rPr>
                <w:rFonts w:ascii="Cambria" w:eastAsia="Times New Roman" w:hAnsi="Cambria" w:cs="Times New Roman"/>
                <w:lang w:eastAsia="pl-PL"/>
              </w:rPr>
              <w:t>odniesieniu</w:t>
            </w:r>
            <w:r w:rsidRPr="00744967">
              <w:rPr>
                <w:rFonts w:ascii="Cambria" w:eastAsia="Times New Roman" w:hAnsi="Cambria" w:cs="Times New Roman"/>
                <w:lang w:eastAsia="pl-PL"/>
              </w:rPr>
              <w:t xml:space="preserve"> do ich ogólnego bezpieczeństwa oraz ochrony osób znajdujących się w pojeździe i niechronionych uczestników ruchu drogowego;</w:t>
            </w:r>
          </w:p>
          <w:p w14:paraId="427AC509" w14:textId="77777777"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w ramach przygotowania pojazdu z systemem autonomicznej jazdy w przypadku konieczności wymagane jest doposażenie infrastruktury zajezdniowej we wszystkie konieczne urządzenia, oprzyrządowanie, programy czy dane, stworzenie cyfrowych map HD zeskanowanego terenu zajezdni obejmujące wszystkie drogi dojazdowe, miejsca postojowe i budynki; </w:t>
            </w:r>
          </w:p>
          <w:p w14:paraId="7AE5CF1F" w14:textId="77777777"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system powinien umożliwiać wykrywanie przez pojazd granic zajezdni (np. za pomocą markerów fizycznych lub RFID) i działać wyłącznie w wyznaczonym obszarze; </w:t>
            </w:r>
          </w:p>
          <w:p w14:paraId="5D47C4D5" w14:textId="23585A29"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system autonomicznej jazdy w każdym przypadku nie może działać, umożliwiać jazdy poza terenem zajezdni (dezaktywacja systemu po wyjeździe z zajezdni); </w:t>
            </w:r>
          </w:p>
          <w:p w14:paraId="255700DD" w14:textId="00B58F2A"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Zamawiający umożliwi wykonywanie testów na terenie zajezdni w celu </w:t>
            </w:r>
            <w:r w:rsidR="000A435B" w:rsidRPr="00744967">
              <w:rPr>
                <w:rFonts w:ascii="Cambria" w:eastAsia="Times New Roman" w:hAnsi="Cambria" w:cs="Times New Roman"/>
                <w:lang w:eastAsia="pl-PL"/>
              </w:rPr>
              <w:t>konfiguracji</w:t>
            </w:r>
            <w:r w:rsidRPr="00744967">
              <w:rPr>
                <w:rFonts w:ascii="Cambria" w:eastAsia="Times New Roman" w:hAnsi="Cambria" w:cs="Times New Roman"/>
                <w:lang w:eastAsia="pl-PL"/>
              </w:rPr>
              <w:t xml:space="preserve"> </w:t>
            </w:r>
            <w:r w:rsidR="000A435B" w:rsidRPr="00744967">
              <w:rPr>
                <w:rFonts w:ascii="Cambria" w:eastAsia="Times New Roman" w:hAnsi="Cambria" w:cs="Times New Roman"/>
                <w:lang w:eastAsia="pl-PL"/>
              </w:rPr>
              <w:t>i uruchomienia</w:t>
            </w:r>
            <w:r w:rsidRPr="00744967">
              <w:rPr>
                <w:rFonts w:ascii="Cambria" w:eastAsia="Times New Roman" w:hAnsi="Cambria" w:cs="Times New Roman"/>
                <w:lang w:eastAsia="pl-PL"/>
              </w:rPr>
              <w:t xml:space="preserve"> systemu na pojeździe testowym przed odbiorami pozostałych pojazdów; </w:t>
            </w:r>
          </w:p>
          <w:p w14:paraId="15C8DDD4" w14:textId="77777777"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pierwsze testy akceptacyjne pokazujące działanie systemu powinny odbyć się w siedzibie Wykonawcy w obecności Zamawiającego, powinny one umożliwiać sprawdzenie wszystkich funkcjonalności wymaganych; </w:t>
            </w:r>
          </w:p>
          <w:p w14:paraId="693581F8" w14:textId="053452BF" w:rsidR="00D06029" w:rsidRPr="00744967" w:rsidRDefault="00D06029" w:rsidP="00D06029">
            <w:pPr>
              <w:pStyle w:val="Akapitzlist"/>
              <w:ind w:left="283"/>
              <w:jc w:val="both"/>
              <w:rPr>
                <w:rFonts w:ascii="Cambria" w:hAnsi="Cambria"/>
                <w:sz w:val="22"/>
                <w:szCs w:val="22"/>
              </w:rPr>
            </w:pPr>
          </w:p>
        </w:tc>
      </w:tr>
    </w:tbl>
    <w:p w14:paraId="1DCEE951" w14:textId="41D2027E"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4" w:name="_Hlk175734406"/>
      <w:r w:rsidRPr="00744967">
        <w:rPr>
          <w:rFonts w:ascii="Cambria" w:eastAsia="Times New Roman" w:hAnsi="Cambria" w:cs="Times New Roman"/>
          <w:b/>
          <w:szCs w:val="20"/>
          <w:u w:val="single"/>
          <w:lang w:eastAsia="pl-PL"/>
        </w:rPr>
        <w:t>V.  Wyposażenie dodatkowe</w:t>
      </w:r>
    </w:p>
    <w:p w14:paraId="3AD8D03F"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bookmarkStart w:id="5" w:name="_Hlk189737233"/>
      <w:bookmarkEnd w:id="4"/>
      <w:r w:rsidRPr="00744967">
        <w:rPr>
          <w:rFonts w:ascii="Cambria" w:eastAsia="Times New Roman" w:hAnsi="Cambria" w:cs="Times New Roman"/>
          <w:lang w:eastAsia="pl-PL"/>
        </w:rPr>
        <w:t>Zaczepy holownicze przednie i tylne, umiejscowione w specjalnym uchwycie zainstalowanym pod którąś z zewnętrznych klap obsługowych (zalecane umiejscowienie w okolicach mocowania zaczepów w przedniej lub tylnej części pojazdu).</w:t>
      </w:r>
    </w:p>
    <w:p w14:paraId="2AB9C273" w14:textId="77777777" w:rsidR="000A435B" w:rsidRPr="00744967" w:rsidRDefault="000A435B" w:rsidP="000A435B">
      <w:pPr>
        <w:pStyle w:val="Akapitzlist"/>
        <w:numPr>
          <w:ilvl w:val="0"/>
          <w:numId w:val="25"/>
        </w:numPr>
        <w:spacing w:before="120"/>
        <w:jc w:val="both"/>
        <w:rPr>
          <w:rFonts w:ascii="Cambria" w:hAnsi="Cambria"/>
          <w:sz w:val="22"/>
          <w:szCs w:val="22"/>
        </w:rPr>
      </w:pPr>
      <w:r w:rsidRPr="00744967">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744967">
        <w:rPr>
          <w:rFonts w:ascii="Cambria" w:hAnsi="Cambria"/>
          <w:sz w:val="22"/>
          <w:szCs w:val="22"/>
          <w:vertAlign w:val="subscript"/>
        </w:rPr>
        <w:t>3</w:t>
      </w:r>
      <w:r w:rsidRPr="00744967">
        <w:rPr>
          <w:rFonts w:ascii="Cambria" w:hAnsi="Cambria"/>
          <w:sz w:val="22"/>
          <w:szCs w:val="22"/>
        </w:rPr>
        <w:t xml:space="preserve">, oparty o kamery (zewnętrzne) i monitory (wewnętrzne) z prawej i lewej strony pojazdu, umożliwiające obserwację pośrednią w czasie rzeczywistym strefy </w:t>
      </w:r>
      <w:r w:rsidRPr="00744967">
        <w:rPr>
          <w:rFonts w:ascii="Cambria" w:hAnsi="Cambria"/>
          <w:sz w:val="22"/>
          <w:szCs w:val="22"/>
        </w:rPr>
        <w:lastRenderedPageBreak/>
        <w:t>znajdującej się z lewej i prawej strony kamery skierowane w kierunku tylnym, bocznym pojazdu, mocowanie kamer zapewniające ich trwałość i bezawaryjność, na wspornikach</w:t>
      </w:r>
      <w:r w:rsidRPr="00744967" w:rsidDel="004F7FE6">
        <w:rPr>
          <w:rFonts w:ascii="Cambria" w:hAnsi="Cambria"/>
          <w:sz w:val="22"/>
          <w:szCs w:val="22"/>
        </w:rPr>
        <w:t xml:space="preserve"> </w:t>
      </w:r>
      <w:r w:rsidRPr="00744967">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33658D25"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59E49656"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31684F8A"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Wymagana instalacja monitorów na prawym i lewym słupku czołowym w kabinie kierowcy.      </w:t>
      </w:r>
    </w:p>
    <w:p w14:paraId="09C0230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Lusterka wewnętrzne – 3 sztuki (dwie sztuki z przodu autobusu – umożliwiające obserwację przestrzeni pasażerskiej oraz rejonu drugich drzwi, trzecia przy drugich drzwiach – umożliwiająca obserwację wejścia).</w:t>
      </w:r>
    </w:p>
    <w:p w14:paraId="2B0B5D8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E0F525D"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5CD7A994"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 czasie, gdy nie jest załączony bieg wsteczny, na ekranie panelu kierowcy nie może być wyświetlany żaden obraz z kamer systemu monitoringu wizyjnego.</w:t>
      </w:r>
    </w:p>
    <w:p w14:paraId="58916CE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 lewej i prawej stronie.</w:t>
      </w:r>
    </w:p>
    <w:p w14:paraId="5E0BC776"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Łącznik pośredni do zaczepu holowniczego, umożliwiający zamocowanie holu sztywnego przed zderzakiem (jeśli jest przewidywany) – 5 sztuk.</w:t>
      </w:r>
    </w:p>
    <w:p w14:paraId="04EFE92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Kluczyk do stacyjki (do uruchamiania autobusu) identyczny dla wszystkich autobusów </w:t>
      </w:r>
      <w:r w:rsidRPr="00744967">
        <w:t>w dostawie</w:t>
      </w:r>
      <w:r w:rsidRPr="00744967">
        <w:rPr>
          <w:rFonts w:ascii="Cambria" w:eastAsia="Times New Roman" w:hAnsi="Cambria" w:cs="Times New Roman"/>
          <w:lang w:eastAsia="pl-PL"/>
        </w:rPr>
        <w:t>.</w:t>
      </w:r>
    </w:p>
    <w:p w14:paraId="02CFB371"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523B3B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 serwisowy typowy, do wszystkich pozostałych zamków zastosowanych w autobusie (np. typu „kwadrat” wewnętrzny, zewnętrzny itp.) – dwie sztuki do każdego autobusu.</w:t>
      </w:r>
    </w:p>
    <w:p w14:paraId="75B2602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71EAB1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Gaśnice (2 x 6 kg), trójkąt ostrzegawczy, apteczka (umieszczone w kabinie kierowcy).</w:t>
      </w:r>
    </w:p>
    <w:p w14:paraId="4E95F70E"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Wyposażenie autobusu w hak holowniczy z ewentualna przedłużką, zamocowany w autobusie w miejscu łatwo dostępnym np. w komorze silnikowej.</w:t>
      </w:r>
    </w:p>
    <w:p w14:paraId="6A33B74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Wyposażenie autobusu w przestrzeni pasażerskiej, w miejscu łatwo dostępnym, w „Kartę Ratowniczą”, lokalizacja po podpisaniu umowy przy sprawdzeniu pierwszej sztuki. </w:t>
      </w:r>
    </w:p>
    <w:p w14:paraId="5D0B7E9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Akumulator do Systemu Informacji Pasażerskiej typu </w:t>
      </w:r>
      <w:r w:rsidRPr="00744967">
        <w:rPr>
          <w:rFonts w:ascii="Cambria" w:eastAsia="Times New Roman" w:hAnsi="Cambria" w:cs="Times New Roman"/>
          <w:i/>
          <w:iCs/>
          <w:lang w:eastAsia="pl-PL"/>
        </w:rPr>
        <w:t>Enhanced Flooded Battery</w:t>
      </w:r>
      <w:r w:rsidRPr="00744967">
        <w:rPr>
          <w:rFonts w:ascii="Cambria" w:eastAsia="Times New Roman" w:hAnsi="Cambria" w:cs="Times New Roman"/>
          <w:lang w:eastAsia="pl-PL"/>
        </w:rPr>
        <w:t>, gwarancja co najmniej 2 lata.</w:t>
      </w:r>
    </w:p>
    <w:p w14:paraId="1D04C94B" w14:textId="77777777" w:rsidR="000A435B"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 trybie roboczym.</w:t>
      </w:r>
    </w:p>
    <w:p w14:paraId="214F1087" w14:textId="77777777" w:rsidR="00D62A03" w:rsidRPr="00BA012A" w:rsidRDefault="00D62A03" w:rsidP="00D62A0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Diagnostyka online:</w:t>
      </w:r>
    </w:p>
    <w:p w14:paraId="7139C1ED" w14:textId="77777777" w:rsidR="00D62A03" w:rsidRPr="00D6079E" w:rsidRDefault="00D62A03" w:rsidP="00D62A03">
      <w:pPr>
        <w:pStyle w:val="Akapitzlist"/>
        <w:numPr>
          <w:ilvl w:val="0"/>
          <w:numId w:val="35"/>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4FD1901A" w14:textId="77777777" w:rsidR="00D62A03" w:rsidRPr="00D6079E" w:rsidRDefault="00D62A03" w:rsidP="00D62A03">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592265D"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D68D5C"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3BF9D884"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AF40E7A"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7FDC45F1"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07436D8"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4568E5E5" w14:textId="77777777" w:rsidR="00D62A03" w:rsidRPr="00D6079E" w:rsidRDefault="00D62A03" w:rsidP="00D62A03">
      <w:pPr>
        <w:pStyle w:val="Akapitzlist"/>
        <w:numPr>
          <w:ilvl w:val="0"/>
          <w:numId w:val="35"/>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594F08EF" w14:textId="2D8AB825" w:rsidR="000A435B" w:rsidRPr="00D14425" w:rsidRDefault="00D62A03" w:rsidP="00D14425">
      <w:pPr>
        <w:pStyle w:val="Akapitzlist"/>
        <w:numPr>
          <w:ilvl w:val="0"/>
          <w:numId w:val="35"/>
        </w:numPr>
        <w:spacing w:before="120"/>
        <w:jc w:val="both"/>
        <w:rPr>
          <w:rFonts w:asciiTheme="majorHAnsi" w:hAnsiTheme="majorHAnsi"/>
          <w:color w:val="FF0000"/>
          <w:sz w:val="22"/>
          <w:szCs w:val="22"/>
        </w:rPr>
      </w:pPr>
      <w:r w:rsidRPr="00D6079E">
        <w:rPr>
          <w:rFonts w:asciiTheme="majorHAnsi" w:hAnsiTheme="majorHAnsi"/>
          <w:color w:val="FF0000"/>
          <w:sz w:val="22"/>
          <w:szCs w:val="22"/>
        </w:rPr>
        <w:lastRenderedPageBreak/>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p>
    <w:bookmarkEnd w:id="5"/>
    <w:p w14:paraId="5F1DCBCD"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Młotki służące do rozbicia szyb okien ewakuacyjnych umieszczone na panelach podsufitowych (nad oknami) i zabezpieczone przed kradzieżą linkami stalowymi.</w:t>
      </w:r>
    </w:p>
    <w:p w14:paraId="1520725C"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18CFE2B4"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p w14:paraId="65E8AC3E" w14:textId="77777777" w:rsidR="000A435B" w:rsidRPr="00744967" w:rsidRDefault="000A435B" w:rsidP="000A435B">
      <w:pPr>
        <w:keepNext/>
        <w:spacing w:before="120" w:after="0" w:line="240" w:lineRule="auto"/>
        <w:jc w:val="both"/>
        <w:outlineLvl w:val="8"/>
        <w:rPr>
          <w:rFonts w:ascii="Cambria" w:eastAsia="Times New Roman" w:hAnsi="Cambria" w:cs="Times New Roman"/>
          <w:b/>
          <w:szCs w:val="20"/>
          <w:u w:val="single"/>
          <w:lang w:eastAsia="pl-PL"/>
        </w:rPr>
      </w:pPr>
      <w:r w:rsidRPr="00744967">
        <w:rPr>
          <w:rFonts w:ascii="Cambria" w:eastAsia="Times New Roman" w:hAnsi="Cambria" w:cs="Times New Roman"/>
          <w:b/>
          <w:szCs w:val="20"/>
          <w:u w:val="single"/>
          <w:lang w:eastAsia="pl-PL"/>
        </w:rPr>
        <w:t>VI.  Kolorystyka, powłoki lakiernicze, oznakowanie</w:t>
      </w:r>
    </w:p>
    <w:p w14:paraId="2A24B2F2" w14:textId="77777777" w:rsidR="000A435B" w:rsidRPr="00744967" w:rsidRDefault="000A435B" w:rsidP="000A435B">
      <w:pPr>
        <w:numPr>
          <w:ilvl w:val="0"/>
          <w:numId w:val="26"/>
        </w:numPr>
        <w:spacing w:before="120" w:after="0" w:line="240" w:lineRule="auto"/>
        <w:jc w:val="both"/>
        <w:rPr>
          <w:rFonts w:ascii="Cambria" w:eastAsia="Times New Roman" w:hAnsi="Cambria" w:cs="Times New Roman"/>
          <w:lang w:eastAsia="pl-PL"/>
        </w:rPr>
      </w:pPr>
      <w:bookmarkStart w:id="6" w:name="_Hlk189655373"/>
      <w:r w:rsidRPr="00744967">
        <w:rPr>
          <w:rFonts w:ascii="Cambria" w:eastAsia="Times New Roman" w:hAnsi="Cambria" w:cs="Times New Roman"/>
          <w:lang w:eastAsia="pl-PL"/>
        </w:rPr>
        <w:t>Kolorystyka zewnętrzna obowiązująca u Zamawiającego: kolory podstawowe nadwozia:</w:t>
      </w:r>
    </w:p>
    <w:p w14:paraId="5CF1C162"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194B3C7"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00C1B7B5"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22B14923"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p>
    <w:p w14:paraId="064F87E8" w14:textId="77777777" w:rsidR="000A435B" w:rsidRPr="00744967" w:rsidRDefault="000A435B" w:rsidP="000A435B">
      <w:pPr>
        <w:spacing w:before="120" w:after="0" w:line="240" w:lineRule="auto"/>
        <w:ind w:left="360"/>
        <w:jc w:val="both"/>
        <w:rPr>
          <w:rFonts w:ascii="Cambria" w:eastAsia="Times New Roman" w:hAnsi="Cambria" w:cs="Times New Roman"/>
          <w:lang w:eastAsia="pl-PL"/>
        </w:rPr>
      </w:pPr>
      <w:r w:rsidRPr="00744967">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41D7323"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w:t>
      </w:r>
      <w:r w:rsidRPr="00744967">
        <w:rPr>
          <w:rFonts w:ascii="Cambria" w:eastAsia="Times New Roman" w:hAnsi="Cambria" w:cs="Times New Roman"/>
          <w:szCs w:val="20"/>
          <w:lang w:eastAsia="pl-PL"/>
        </w:rPr>
        <w:lastRenderedPageBreak/>
        <w:t>graficzne, w kolorze ciemnoczerwonym, tworzące wzdłuż autobusu pas o szerokości od 30 do 300 mm.</w:t>
      </w:r>
    </w:p>
    <w:p w14:paraId="68D6C91C"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12EE32FE"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57270726"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0F4A2495"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A6A318F"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6"/>
    </w:p>
    <w:p w14:paraId="2E70F05E" w14:textId="7DB362F7" w:rsidR="001566FE" w:rsidRPr="00DB7B25" w:rsidRDefault="001566FE" w:rsidP="000A435B">
      <w:pPr>
        <w:keepNext/>
        <w:spacing w:before="120" w:after="0" w:line="240" w:lineRule="auto"/>
        <w:jc w:val="both"/>
        <w:outlineLvl w:val="8"/>
        <w:rPr>
          <w:rFonts w:ascii="Cambria" w:eastAsia="Times New Roman" w:hAnsi="Cambria" w:cs="Times New Roman"/>
          <w:szCs w:val="20"/>
          <w:lang w:eastAsia="pl-PL"/>
        </w:rPr>
      </w:pPr>
    </w:p>
    <w:sectPr w:rsidR="001566FE" w:rsidRPr="00DB7B25">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6B5BC" w14:textId="77777777" w:rsidR="00985B8E" w:rsidRDefault="00985B8E" w:rsidP="009030D8">
      <w:pPr>
        <w:spacing w:after="0" w:line="240" w:lineRule="auto"/>
      </w:pPr>
      <w:r>
        <w:separator/>
      </w:r>
    </w:p>
  </w:endnote>
  <w:endnote w:type="continuationSeparator" w:id="0">
    <w:p w14:paraId="181AA3FB" w14:textId="77777777" w:rsidR="00985B8E" w:rsidRDefault="00985B8E" w:rsidP="009030D8">
      <w:pPr>
        <w:spacing w:after="0" w:line="240" w:lineRule="auto"/>
      </w:pPr>
      <w:r>
        <w:continuationSeparator/>
      </w:r>
    </w:p>
  </w:endnote>
  <w:endnote w:type="continuationNotice" w:id="1">
    <w:p w14:paraId="2BB02BFC" w14:textId="77777777" w:rsidR="00985B8E" w:rsidRDefault="0098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26598"/>
      <w:docPartObj>
        <w:docPartGallery w:val="Page Numbers (Bottom of Page)"/>
        <w:docPartUnique/>
      </w:docPartObj>
    </w:sdtPr>
    <w:sdtEndPr/>
    <w:sdtContent>
      <w:p w14:paraId="6F86FF83" w14:textId="35C5709C" w:rsidR="00D06029" w:rsidRDefault="00D06029">
        <w:pPr>
          <w:pStyle w:val="Stopka"/>
          <w:jc w:val="center"/>
        </w:pPr>
        <w:r>
          <w:fldChar w:fldCharType="begin"/>
        </w:r>
        <w:r>
          <w:instrText>PAGE   \* MERGEFORMAT</w:instrText>
        </w:r>
        <w:r>
          <w:fldChar w:fldCharType="separate"/>
        </w:r>
        <w:r>
          <w:t>2</w:t>
        </w:r>
        <w:r>
          <w:fldChar w:fldCharType="end"/>
        </w:r>
      </w:p>
    </w:sdtContent>
  </w:sdt>
  <w:p w14:paraId="51F56F9E" w14:textId="74AF0746" w:rsidR="00D76AA3" w:rsidRDefault="00D76A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0EA0B" w14:textId="77777777" w:rsidR="00985B8E" w:rsidRDefault="00985B8E" w:rsidP="009030D8">
      <w:pPr>
        <w:spacing w:after="0" w:line="240" w:lineRule="auto"/>
      </w:pPr>
      <w:r>
        <w:separator/>
      </w:r>
    </w:p>
  </w:footnote>
  <w:footnote w:type="continuationSeparator" w:id="0">
    <w:p w14:paraId="4275CFE0" w14:textId="77777777" w:rsidR="00985B8E" w:rsidRDefault="00985B8E" w:rsidP="009030D8">
      <w:pPr>
        <w:spacing w:after="0" w:line="240" w:lineRule="auto"/>
      </w:pPr>
      <w:r>
        <w:continuationSeparator/>
      </w:r>
    </w:p>
  </w:footnote>
  <w:footnote w:type="continuationNotice" w:id="1">
    <w:p w14:paraId="7A87DA3B" w14:textId="77777777" w:rsidR="00985B8E" w:rsidRDefault="00985B8E">
      <w:pPr>
        <w:spacing w:after="0" w:line="240" w:lineRule="auto"/>
      </w:pPr>
    </w:p>
  </w:footnote>
  <w:footnote w:id="2">
    <w:p w14:paraId="3659FEA2" w14:textId="77777777" w:rsidR="009030D8" w:rsidRPr="00D06029" w:rsidRDefault="009030D8" w:rsidP="00D06029">
      <w:pPr>
        <w:pStyle w:val="Tekstprzypisudolnego"/>
        <w:jc w:val="both"/>
        <w:rPr>
          <w:rFonts w:ascii="Cambria" w:hAnsi="Cambria"/>
        </w:rPr>
      </w:pPr>
      <w:r>
        <w:rPr>
          <w:rStyle w:val="Odwoanieprzypisudolnego"/>
        </w:rPr>
        <w:footnoteRef/>
      </w:r>
      <w:r>
        <w:t xml:space="preserve"> </w:t>
      </w:r>
      <w:r w:rsidRPr="00D06029">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358A6DA9" w14:textId="77777777" w:rsidR="009030D8" w:rsidRPr="008023C0" w:rsidRDefault="009030D8" w:rsidP="00D06029">
      <w:pPr>
        <w:pStyle w:val="Tekstprzypisudolnego"/>
        <w:jc w:val="both"/>
      </w:pPr>
      <w:r w:rsidRPr="00D06029">
        <w:rPr>
          <w:rFonts w:ascii="Cambria" w:hAnsi="Cambria"/>
        </w:rPr>
        <w:footnoteRef/>
      </w:r>
      <w:r w:rsidRPr="00D06029">
        <w:rPr>
          <w:rFonts w:ascii="Cambria" w:hAnsi="Cambria"/>
        </w:rPr>
        <w:t xml:space="preserve"> liczba miejsc pasażerskich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4">
    <w:p w14:paraId="09FB16FB" w14:textId="77777777" w:rsidR="004044FE" w:rsidRDefault="004044FE" w:rsidP="004044FE">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5">
    <w:p w14:paraId="0C64EB9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 najwyższy zasięg obliczeniowy”</w:t>
      </w:r>
    </w:p>
  </w:footnote>
  <w:footnote w:id="6">
    <w:p w14:paraId="16AEFA5E" w14:textId="77777777" w:rsidR="00D06029" w:rsidRPr="00A342B4" w:rsidRDefault="00D06029" w:rsidP="00D96525">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11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1C79AF3" w14:textId="77777777" w:rsidR="00D06029" w:rsidRPr="00A342B4" w:rsidRDefault="00D06029">
      <w:pPr>
        <w:pStyle w:val="Tekstprzypisudolnego"/>
        <w:rPr>
          <w:rFonts w:asciiTheme="majorHAnsi" w:hAnsiTheme="majorHAnsi"/>
        </w:rPr>
      </w:pPr>
    </w:p>
  </w:footnote>
  <w:footnote w:id="7">
    <w:p w14:paraId="4D627C4F" w14:textId="0AFAEC75" w:rsidR="00D06029" w:rsidRDefault="00D06029">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0A435B">
        <w:t>„system</w:t>
      </w:r>
      <w:r>
        <w:t xml:space="preserve"> inteligentnego wspomagania hamowania” </w:t>
      </w:r>
    </w:p>
  </w:footnote>
  <w:footnote w:id="8">
    <w:p w14:paraId="1E846329" w14:textId="3A58A4E5" w:rsidR="00D06029" w:rsidRDefault="00D06029">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0A435B">
        <w:t>„aktywne</w:t>
      </w:r>
      <w:r>
        <w:t xml:space="preserve"> zawieszenie kompensujące pracę nadwozia podczas jazdy” </w:t>
      </w:r>
    </w:p>
  </w:footnote>
  <w:footnote w:id="9">
    <w:p w14:paraId="078770A3" w14:textId="77777777" w:rsidR="00D06029" w:rsidRDefault="00D06029"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1789D5B7" w14:textId="77777777" w:rsidR="00D06029" w:rsidRPr="00A342B4" w:rsidRDefault="00D06029">
      <w:pPr>
        <w:pStyle w:val="Tekstprzypisudolnego"/>
        <w:rPr>
          <w:rFonts w:asciiTheme="majorHAnsi" w:hAnsiTheme="majorHAnsi"/>
        </w:rPr>
      </w:pPr>
    </w:p>
  </w:footnote>
  <w:footnote w:id="11">
    <w:p w14:paraId="6794EF2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27DE2A7B" w14:textId="254CB207" w:rsidR="00D06029" w:rsidRDefault="00D06029">
      <w:pPr>
        <w:pStyle w:val="Tekstprzypisudolnego"/>
      </w:pPr>
      <w:r>
        <w:rPr>
          <w:rStyle w:val="Odwoanieprzypisudolnego"/>
        </w:rPr>
        <w:footnoteRef/>
      </w:r>
      <w:r>
        <w:t xml:space="preserve"> </w:t>
      </w:r>
      <w:bookmarkStart w:id="2" w:name="_Hlk190073672"/>
      <w:bookmarkStart w:id="3"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7FCE3" w14:textId="65D8BF6A" w:rsidR="007A1235" w:rsidRPr="003659EC" w:rsidRDefault="006A6C6E" w:rsidP="00276B9D">
    <w:pPr>
      <w:keepNext/>
      <w:tabs>
        <w:tab w:val="left" w:pos="0"/>
      </w:tabs>
      <w:spacing w:after="0" w:line="240" w:lineRule="auto"/>
      <w:outlineLvl w:val="4"/>
      <w:rPr>
        <w:rFonts w:ascii="Times New Roman" w:eastAsia="Times New Roman" w:hAnsi="Times New Roman" w:cs="Times New Roman"/>
        <w:lang w:eastAsia="pl-PL"/>
      </w:rPr>
    </w:pPr>
    <w:r w:rsidRPr="352B275F">
      <w:rPr>
        <w:rFonts w:ascii="Times New Roman" w:eastAsia="Times New Roman" w:hAnsi="Times New Roman" w:cs="Times New Roman"/>
        <w:color w:val="000000" w:themeColor="text1"/>
        <w:lang w:eastAsia="pl-PL"/>
      </w:rPr>
      <w:t xml:space="preserve">postępowanie numer: </w:t>
    </w:r>
    <w:r w:rsidRPr="003659EC">
      <w:rPr>
        <w:rFonts w:ascii="Times New Roman" w:eastAsia="Times New Roman" w:hAnsi="Times New Roman" w:cs="Times New Roman"/>
        <w:color w:val="000000" w:themeColor="text1"/>
        <w:lang w:eastAsia="pl-PL"/>
      </w:rPr>
      <w:t>143/RPP/AB/24</w:t>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lang w:eastAsia="pl-PL"/>
      </w:rPr>
      <w:t>Załącznik nr 1.3 do SWZ</w:t>
    </w:r>
  </w:p>
  <w:p w14:paraId="7D42692A" w14:textId="77777777" w:rsidR="007A1235" w:rsidRPr="003659EC" w:rsidRDefault="007A1235" w:rsidP="007A12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1D56F76"/>
    <w:multiLevelType w:val="hybridMultilevel"/>
    <w:tmpl w:val="AEE89C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9"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1"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091751"/>
    <w:multiLevelType w:val="hybridMultilevel"/>
    <w:tmpl w:val="664E2C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8D44D32"/>
    <w:multiLevelType w:val="hybridMultilevel"/>
    <w:tmpl w:val="8BAA8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AB2E7C3E"/>
    <w:lvl w:ilvl="0" w:tplc="F320D256">
      <w:start w:val="1"/>
      <w:numFmt w:val="bullet"/>
      <w:lvlText w:val=""/>
      <w:lvlJc w:val="left"/>
      <w:pPr>
        <w:ind w:left="283" w:hanging="283"/>
      </w:pPr>
      <w:rPr>
        <w:rFonts w:ascii="Symbol" w:hAnsi="Symbol" w:hint="default"/>
        <w:color w:val="auto"/>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6"/>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3"/>
  </w:num>
  <w:num w:numId="6" w16cid:durableId="1412311584">
    <w:abstractNumId w:val="26"/>
  </w:num>
  <w:num w:numId="7" w16cid:durableId="719288517">
    <w:abstractNumId w:val="20"/>
  </w:num>
  <w:num w:numId="8" w16cid:durableId="169804623">
    <w:abstractNumId w:val="30"/>
  </w:num>
  <w:num w:numId="9" w16cid:durableId="630943740">
    <w:abstractNumId w:val="4"/>
  </w:num>
  <w:num w:numId="10" w16cid:durableId="1196191630">
    <w:abstractNumId w:val="28"/>
  </w:num>
  <w:num w:numId="11" w16cid:durableId="2018069219">
    <w:abstractNumId w:val="17"/>
  </w:num>
  <w:num w:numId="12" w16cid:durableId="818569256">
    <w:abstractNumId w:val="15"/>
  </w:num>
  <w:num w:numId="13" w16cid:durableId="2130932720">
    <w:abstractNumId w:val="34"/>
  </w:num>
  <w:num w:numId="14" w16cid:durableId="99499358">
    <w:abstractNumId w:val="7"/>
  </w:num>
  <w:num w:numId="15" w16cid:durableId="1279484435">
    <w:abstractNumId w:val="31"/>
  </w:num>
  <w:num w:numId="16" w16cid:durableId="1825779192">
    <w:abstractNumId w:val="13"/>
  </w:num>
  <w:num w:numId="17" w16cid:durableId="1289894717">
    <w:abstractNumId w:val="6"/>
  </w:num>
  <w:num w:numId="18" w16cid:durableId="533425082">
    <w:abstractNumId w:val="35"/>
  </w:num>
  <w:num w:numId="19" w16cid:durableId="1333407408">
    <w:abstractNumId w:val="22"/>
  </w:num>
  <w:num w:numId="20" w16cid:durableId="1867327080">
    <w:abstractNumId w:val="27"/>
  </w:num>
  <w:num w:numId="21" w16cid:durableId="246503281">
    <w:abstractNumId w:val="37"/>
  </w:num>
  <w:num w:numId="22" w16cid:durableId="1330017008">
    <w:abstractNumId w:val="1"/>
  </w:num>
  <w:num w:numId="23" w16cid:durableId="1210805180">
    <w:abstractNumId w:val="32"/>
  </w:num>
  <w:num w:numId="24" w16cid:durableId="1839343976">
    <w:abstractNumId w:val="8"/>
  </w:num>
  <w:num w:numId="25" w16cid:durableId="1308588913">
    <w:abstractNumId w:val="10"/>
  </w:num>
  <w:num w:numId="26" w16cid:durableId="661196386">
    <w:abstractNumId w:val="24"/>
  </w:num>
  <w:num w:numId="27" w16cid:durableId="1286545468">
    <w:abstractNumId w:val="29"/>
  </w:num>
  <w:num w:numId="28" w16cid:durableId="1631548285">
    <w:abstractNumId w:val="12"/>
  </w:num>
  <w:num w:numId="29" w16cid:durableId="1744180665">
    <w:abstractNumId w:val="5"/>
  </w:num>
  <w:num w:numId="30" w16cid:durableId="1491749259">
    <w:abstractNumId w:val="19"/>
  </w:num>
  <w:num w:numId="31" w16cid:durableId="1763061099">
    <w:abstractNumId w:val="9"/>
  </w:num>
  <w:num w:numId="32" w16cid:durableId="751855859">
    <w:abstractNumId w:val="36"/>
  </w:num>
  <w:num w:numId="33" w16cid:durableId="1076711309">
    <w:abstractNumId w:val="18"/>
  </w:num>
  <w:num w:numId="34" w16cid:durableId="959263914">
    <w:abstractNumId w:val="21"/>
  </w:num>
  <w:num w:numId="35" w16cid:durableId="336227635">
    <w:abstractNumId w:val="14"/>
  </w:num>
  <w:num w:numId="36" w16cid:durableId="794829626">
    <w:abstractNumId w:val="11"/>
  </w:num>
  <w:num w:numId="37" w16cid:durableId="1821144692">
    <w:abstractNumId w:val="2"/>
  </w:num>
  <w:num w:numId="38" w16cid:durableId="1682928518">
    <w:abstractNumId w:val="23"/>
  </w:num>
  <w:num w:numId="39" w16cid:durableId="572275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C1gMcJW5Tbjpiz0KDdRtyMlo+rFsfAn3hPfcvftBvjXgTUbkrF3XabL/yNXFRSd5eAlgzM3jKIZ1YhgDP6pwAw==" w:salt="nuGxwnrbsiV+aEYbdLVTz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21A70"/>
    <w:rsid w:val="00023A42"/>
    <w:rsid w:val="00025B65"/>
    <w:rsid w:val="000324DF"/>
    <w:rsid w:val="000343ED"/>
    <w:rsid w:val="00044EBA"/>
    <w:rsid w:val="00045CDA"/>
    <w:rsid w:val="00052BC9"/>
    <w:rsid w:val="00054CE5"/>
    <w:rsid w:val="00057F14"/>
    <w:rsid w:val="00064B12"/>
    <w:rsid w:val="00080A84"/>
    <w:rsid w:val="00084C23"/>
    <w:rsid w:val="00085C56"/>
    <w:rsid w:val="000950DD"/>
    <w:rsid w:val="00097ECB"/>
    <w:rsid w:val="000A35F0"/>
    <w:rsid w:val="000A435B"/>
    <w:rsid w:val="000C40A0"/>
    <w:rsid w:val="000C4673"/>
    <w:rsid w:val="000D0A49"/>
    <w:rsid w:val="000D5708"/>
    <w:rsid w:val="000E6D1E"/>
    <w:rsid w:val="000E78E3"/>
    <w:rsid w:val="00107919"/>
    <w:rsid w:val="001146CF"/>
    <w:rsid w:val="00121276"/>
    <w:rsid w:val="00121BC4"/>
    <w:rsid w:val="00124064"/>
    <w:rsid w:val="0012550C"/>
    <w:rsid w:val="00125E82"/>
    <w:rsid w:val="00126CB7"/>
    <w:rsid w:val="00134174"/>
    <w:rsid w:val="00150686"/>
    <w:rsid w:val="001566FE"/>
    <w:rsid w:val="001618D9"/>
    <w:rsid w:val="00163F94"/>
    <w:rsid w:val="00165FA5"/>
    <w:rsid w:val="0017558B"/>
    <w:rsid w:val="001759A7"/>
    <w:rsid w:val="00180C99"/>
    <w:rsid w:val="00180EA2"/>
    <w:rsid w:val="00182E8D"/>
    <w:rsid w:val="001B1176"/>
    <w:rsid w:val="001B7069"/>
    <w:rsid w:val="001C040D"/>
    <w:rsid w:val="001C29E1"/>
    <w:rsid w:val="001C63B1"/>
    <w:rsid w:val="001C684D"/>
    <w:rsid w:val="001E012B"/>
    <w:rsid w:val="001F4988"/>
    <w:rsid w:val="00203D32"/>
    <w:rsid w:val="00204C78"/>
    <w:rsid w:val="002070BE"/>
    <w:rsid w:val="00214031"/>
    <w:rsid w:val="00216FAB"/>
    <w:rsid w:val="00225644"/>
    <w:rsid w:val="002354ED"/>
    <w:rsid w:val="002366A0"/>
    <w:rsid w:val="00244EAC"/>
    <w:rsid w:val="00251FD7"/>
    <w:rsid w:val="00256DB9"/>
    <w:rsid w:val="002575A9"/>
    <w:rsid w:val="002678BE"/>
    <w:rsid w:val="00267C9D"/>
    <w:rsid w:val="00271312"/>
    <w:rsid w:val="002753AF"/>
    <w:rsid w:val="00276B9D"/>
    <w:rsid w:val="002810CA"/>
    <w:rsid w:val="00286BF3"/>
    <w:rsid w:val="002878F4"/>
    <w:rsid w:val="00290EDC"/>
    <w:rsid w:val="00290F35"/>
    <w:rsid w:val="00295859"/>
    <w:rsid w:val="00296E1F"/>
    <w:rsid w:val="002A1989"/>
    <w:rsid w:val="002A7FEE"/>
    <w:rsid w:val="002B1739"/>
    <w:rsid w:val="002B36DD"/>
    <w:rsid w:val="002B6102"/>
    <w:rsid w:val="002C3B8E"/>
    <w:rsid w:val="002D360F"/>
    <w:rsid w:val="002E3240"/>
    <w:rsid w:val="002E4A5F"/>
    <w:rsid w:val="002E57C9"/>
    <w:rsid w:val="002F0592"/>
    <w:rsid w:val="002F227D"/>
    <w:rsid w:val="002F5292"/>
    <w:rsid w:val="00317FEC"/>
    <w:rsid w:val="003216D0"/>
    <w:rsid w:val="003300DC"/>
    <w:rsid w:val="00331D99"/>
    <w:rsid w:val="003471D8"/>
    <w:rsid w:val="003479DD"/>
    <w:rsid w:val="0035790C"/>
    <w:rsid w:val="003659EC"/>
    <w:rsid w:val="003716E8"/>
    <w:rsid w:val="003719F1"/>
    <w:rsid w:val="003726C7"/>
    <w:rsid w:val="00374466"/>
    <w:rsid w:val="00383200"/>
    <w:rsid w:val="00384AA8"/>
    <w:rsid w:val="00393114"/>
    <w:rsid w:val="00395D23"/>
    <w:rsid w:val="003B09C8"/>
    <w:rsid w:val="003B2632"/>
    <w:rsid w:val="003B681D"/>
    <w:rsid w:val="003B6B53"/>
    <w:rsid w:val="003C0499"/>
    <w:rsid w:val="003C2F0D"/>
    <w:rsid w:val="003C4B69"/>
    <w:rsid w:val="003C5E3F"/>
    <w:rsid w:val="003D18E3"/>
    <w:rsid w:val="003D1B37"/>
    <w:rsid w:val="003E3E00"/>
    <w:rsid w:val="003E63F1"/>
    <w:rsid w:val="003F1FC9"/>
    <w:rsid w:val="003F6113"/>
    <w:rsid w:val="003F61C5"/>
    <w:rsid w:val="00401C85"/>
    <w:rsid w:val="004044FE"/>
    <w:rsid w:val="0040700E"/>
    <w:rsid w:val="004164E8"/>
    <w:rsid w:val="004167D1"/>
    <w:rsid w:val="00425885"/>
    <w:rsid w:val="004268F3"/>
    <w:rsid w:val="00427D42"/>
    <w:rsid w:val="00432EF8"/>
    <w:rsid w:val="00432F24"/>
    <w:rsid w:val="00432FD9"/>
    <w:rsid w:val="004355E5"/>
    <w:rsid w:val="0044003A"/>
    <w:rsid w:val="0044137A"/>
    <w:rsid w:val="004415C6"/>
    <w:rsid w:val="004535EE"/>
    <w:rsid w:val="004539A5"/>
    <w:rsid w:val="004554CE"/>
    <w:rsid w:val="00457760"/>
    <w:rsid w:val="00470661"/>
    <w:rsid w:val="0048419B"/>
    <w:rsid w:val="004908E6"/>
    <w:rsid w:val="00494BDA"/>
    <w:rsid w:val="004A028B"/>
    <w:rsid w:val="004B1694"/>
    <w:rsid w:val="004B38B1"/>
    <w:rsid w:val="004C1A18"/>
    <w:rsid w:val="004C29BA"/>
    <w:rsid w:val="004D7F2A"/>
    <w:rsid w:val="004E009C"/>
    <w:rsid w:val="004F7FE6"/>
    <w:rsid w:val="00500EEC"/>
    <w:rsid w:val="0050726E"/>
    <w:rsid w:val="0052515E"/>
    <w:rsid w:val="00527625"/>
    <w:rsid w:val="00533EE4"/>
    <w:rsid w:val="005460F4"/>
    <w:rsid w:val="00555E61"/>
    <w:rsid w:val="005616FF"/>
    <w:rsid w:val="00562CBC"/>
    <w:rsid w:val="00571E9A"/>
    <w:rsid w:val="00574CC6"/>
    <w:rsid w:val="00590661"/>
    <w:rsid w:val="00592DA0"/>
    <w:rsid w:val="0059461A"/>
    <w:rsid w:val="005A11CB"/>
    <w:rsid w:val="005A3BE2"/>
    <w:rsid w:val="005B2080"/>
    <w:rsid w:val="005B2BB0"/>
    <w:rsid w:val="005B751A"/>
    <w:rsid w:val="005C0591"/>
    <w:rsid w:val="005C1B5B"/>
    <w:rsid w:val="005C236E"/>
    <w:rsid w:val="005C2D7E"/>
    <w:rsid w:val="005C3CBD"/>
    <w:rsid w:val="005C498D"/>
    <w:rsid w:val="005C4CC6"/>
    <w:rsid w:val="005D37A5"/>
    <w:rsid w:val="005E043E"/>
    <w:rsid w:val="005E084C"/>
    <w:rsid w:val="005E10E0"/>
    <w:rsid w:val="005E1625"/>
    <w:rsid w:val="005E4175"/>
    <w:rsid w:val="005E6191"/>
    <w:rsid w:val="005E6A9C"/>
    <w:rsid w:val="005F4038"/>
    <w:rsid w:val="005F495E"/>
    <w:rsid w:val="00601781"/>
    <w:rsid w:val="0060235E"/>
    <w:rsid w:val="006025FD"/>
    <w:rsid w:val="00602E4F"/>
    <w:rsid w:val="00611BF1"/>
    <w:rsid w:val="0061432F"/>
    <w:rsid w:val="006201A3"/>
    <w:rsid w:val="0062731B"/>
    <w:rsid w:val="00630598"/>
    <w:rsid w:val="00644AC1"/>
    <w:rsid w:val="0065142C"/>
    <w:rsid w:val="006533FD"/>
    <w:rsid w:val="00654365"/>
    <w:rsid w:val="006576DA"/>
    <w:rsid w:val="00671D88"/>
    <w:rsid w:val="006735A5"/>
    <w:rsid w:val="006A6C6E"/>
    <w:rsid w:val="006A6CAF"/>
    <w:rsid w:val="006A7756"/>
    <w:rsid w:val="006B3609"/>
    <w:rsid w:val="006C5729"/>
    <w:rsid w:val="006D2B8D"/>
    <w:rsid w:val="006D725D"/>
    <w:rsid w:val="006E105E"/>
    <w:rsid w:val="006E470E"/>
    <w:rsid w:val="006E6FCD"/>
    <w:rsid w:val="007004EC"/>
    <w:rsid w:val="00706D6C"/>
    <w:rsid w:val="00716970"/>
    <w:rsid w:val="00726B11"/>
    <w:rsid w:val="007368F5"/>
    <w:rsid w:val="00740180"/>
    <w:rsid w:val="00744967"/>
    <w:rsid w:val="00745AF3"/>
    <w:rsid w:val="00753303"/>
    <w:rsid w:val="00764913"/>
    <w:rsid w:val="0076781F"/>
    <w:rsid w:val="00767DC8"/>
    <w:rsid w:val="007711F2"/>
    <w:rsid w:val="00784688"/>
    <w:rsid w:val="00793F4C"/>
    <w:rsid w:val="00795C30"/>
    <w:rsid w:val="00797E40"/>
    <w:rsid w:val="007A1235"/>
    <w:rsid w:val="007B18F8"/>
    <w:rsid w:val="007B38D5"/>
    <w:rsid w:val="007B3927"/>
    <w:rsid w:val="007B4F10"/>
    <w:rsid w:val="007C01BD"/>
    <w:rsid w:val="007C18D3"/>
    <w:rsid w:val="007C3EF8"/>
    <w:rsid w:val="007C6CB3"/>
    <w:rsid w:val="007C7542"/>
    <w:rsid w:val="007D0341"/>
    <w:rsid w:val="007E4CF3"/>
    <w:rsid w:val="007F127E"/>
    <w:rsid w:val="007F23B6"/>
    <w:rsid w:val="007F3BE4"/>
    <w:rsid w:val="007F6646"/>
    <w:rsid w:val="00800ABB"/>
    <w:rsid w:val="0083381B"/>
    <w:rsid w:val="008340CC"/>
    <w:rsid w:val="008421A9"/>
    <w:rsid w:val="008429C1"/>
    <w:rsid w:val="008441D9"/>
    <w:rsid w:val="008444A9"/>
    <w:rsid w:val="00844772"/>
    <w:rsid w:val="00845186"/>
    <w:rsid w:val="0085275F"/>
    <w:rsid w:val="00852997"/>
    <w:rsid w:val="00853716"/>
    <w:rsid w:val="00861184"/>
    <w:rsid w:val="00866067"/>
    <w:rsid w:val="00870A5E"/>
    <w:rsid w:val="00876673"/>
    <w:rsid w:val="00894475"/>
    <w:rsid w:val="0089594F"/>
    <w:rsid w:val="008A1D93"/>
    <w:rsid w:val="008A7328"/>
    <w:rsid w:val="008B145C"/>
    <w:rsid w:val="008B22F1"/>
    <w:rsid w:val="008D56CE"/>
    <w:rsid w:val="008D740B"/>
    <w:rsid w:val="008E10E7"/>
    <w:rsid w:val="008F0DF9"/>
    <w:rsid w:val="009030D8"/>
    <w:rsid w:val="00903270"/>
    <w:rsid w:val="00903735"/>
    <w:rsid w:val="009077AB"/>
    <w:rsid w:val="00912A41"/>
    <w:rsid w:val="009147C8"/>
    <w:rsid w:val="009172E3"/>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80A71"/>
    <w:rsid w:val="00982829"/>
    <w:rsid w:val="00984214"/>
    <w:rsid w:val="00984392"/>
    <w:rsid w:val="009847C9"/>
    <w:rsid w:val="00985B8E"/>
    <w:rsid w:val="009863D9"/>
    <w:rsid w:val="00986CAC"/>
    <w:rsid w:val="0099525E"/>
    <w:rsid w:val="009A0871"/>
    <w:rsid w:val="009A1C89"/>
    <w:rsid w:val="009B4B56"/>
    <w:rsid w:val="009B65F6"/>
    <w:rsid w:val="009C4F1C"/>
    <w:rsid w:val="009D1461"/>
    <w:rsid w:val="009D6747"/>
    <w:rsid w:val="009E3DE2"/>
    <w:rsid w:val="009F438C"/>
    <w:rsid w:val="009F5A82"/>
    <w:rsid w:val="00A0561A"/>
    <w:rsid w:val="00A07CED"/>
    <w:rsid w:val="00A23930"/>
    <w:rsid w:val="00A336B2"/>
    <w:rsid w:val="00A34DC8"/>
    <w:rsid w:val="00A45008"/>
    <w:rsid w:val="00A629D1"/>
    <w:rsid w:val="00A62DB3"/>
    <w:rsid w:val="00A64366"/>
    <w:rsid w:val="00A71F4B"/>
    <w:rsid w:val="00A73804"/>
    <w:rsid w:val="00A75DE0"/>
    <w:rsid w:val="00A81914"/>
    <w:rsid w:val="00A8248C"/>
    <w:rsid w:val="00A826D9"/>
    <w:rsid w:val="00A8303E"/>
    <w:rsid w:val="00A87294"/>
    <w:rsid w:val="00A92339"/>
    <w:rsid w:val="00A930DB"/>
    <w:rsid w:val="00A93B10"/>
    <w:rsid w:val="00A95E23"/>
    <w:rsid w:val="00AA51A7"/>
    <w:rsid w:val="00AB2E3A"/>
    <w:rsid w:val="00AB65E6"/>
    <w:rsid w:val="00AB6B34"/>
    <w:rsid w:val="00AC6551"/>
    <w:rsid w:val="00AD0A55"/>
    <w:rsid w:val="00AD527D"/>
    <w:rsid w:val="00AE30A4"/>
    <w:rsid w:val="00AE41BC"/>
    <w:rsid w:val="00AE5099"/>
    <w:rsid w:val="00AF62B1"/>
    <w:rsid w:val="00B0076F"/>
    <w:rsid w:val="00B01B73"/>
    <w:rsid w:val="00B055C2"/>
    <w:rsid w:val="00B06963"/>
    <w:rsid w:val="00B07197"/>
    <w:rsid w:val="00B13131"/>
    <w:rsid w:val="00B3649D"/>
    <w:rsid w:val="00B371E4"/>
    <w:rsid w:val="00B457AB"/>
    <w:rsid w:val="00B460B0"/>
    <w:rsid w:val="00B4712E"/>
    <w:rsid w:val="00B54406"/>
    <w:rsid w:val="00B56B8A"/>
    <w:rsid w:val="00B60F6B"/>
    <w:rsid w:val="00B61DEB"/>
    <w:rsid w:val="00B70C38"/>
    <w:rsid w:val="00B72EC7"/>
    <w:rsid w:val="00B74169"/>
    <w:rsid w:val="00B80750"/>
    <w:rsid w:val="00B83CEC"/>
    <w:rsid w:val="00B845AE"/>
    <w:rsid w:val="00B97EDF"/>
    <w:rsid w:val="00BA0F71"/>
    <w:rsid w:val="00BA6A17"/>
    <w:rsid w:val="00BB767D"/>
    <w:rsid w:val="00BC1B83"/>
    <w:rsid w:val="00BC72AE"/>
    <w:rsid w:val="00BD4782"/>
    <w:rsid w:val="00BD4C87"/>
    <w:rsid w:val="00BD5461"/>
    <w:rsid w:val="00BD5535"/>
    <w:rsid w:val="00BD571A"/>
    <w:rsid w:val="00BE15C7"/>
    <w:rsid w:val="00BE18FA"/>
    <w:rsid w:val="00BE3FC0"/>
    <w:rsid w:val="00BE4859"/>
    <w:rsid w:val="00BF0D26"/>
    <w:rsid w:val="00BF48AF"/>
    <w:rsid w:val="00BF5FD9"/>
    <w:rsid w:val="00BF6829"/>
    <w:rsid w:val="00BF72F8"/>
    <w:rsid w:val="00C1248C"/>
    <w:rsid w:val="00C170A1"/>
    <w:rsid w:val="00C17E19"/>
    <w:rsid w:val="00C26B15"/>
    <w:rsid w:val="00C30E8E"/>
    <w:rsid w:val="00C337B0"/>
    <w:rsid w:val="00C34C6C"/>
    <w:rsid w:val="00C43640"/>
    <w:rsid w:val="00C518C7"/>
    <w:rsid w:val="00C52375"/>
    <w:rsid w:val="00C5398C"/>
    <w:rsid w:val="00C56F7F"/>
    <w:rsid w:val="00C650BC"/>
    <w:rsid w:val="00C73025"/>
    <w:rsid w:val="00C76A41"/>
    <w:rsid w:val="00C82E79"/>
    <w:rsid w:val="00C83DFC"/>
    <w:rsid w:val="00C87497"/>
    <w:rsid w:val="00C879A4"/>
    <w:rsid w:val="00C87E71"/>
    <w:rsid w:val="00CA0C14"/>
    <w:rsid w:val="00CA1927"/>
    <w:rsid w:val="00CC0E7E"/>
    <w:rsid w:val="00CC2693"/>
    <w:rsid w:val="00CD77B3"/>
    <w:rsid w:val="00CE70A9"/>
    <w:rsid w:val="00CF03B8"/>
    <w:rsid w:val="00CF0FCD"/>
    <w:rsid w:val="00CF2FD7"/>
    <w:rsid w:val="00CF3BCB"/>
    <w:rsid w:val="00D06029"/>
    <w:rsid w:val="00D0644C"/>
    <w:rsid w:val="00D07058"/>
    <w:rsid w:val="00D103E2"/>
    <w:rsid w:val="00D10B2E"/>
    <w:rsid w:val="00D11DEA"/>
    <w:rsid w:val="00D14425"/>
    <w:rsid w:val="00D20C43"/>
    <w:rsid w:val="00D2390D"/>
    <w:rsid w:val="00D34080"/>
    <w:rsid w:val="00D43D84"/>
    <w:rsid w:val="00D441A1"/>
    <w:rsid w:val="00D52110"/>
    <w:rsid w:val="00D61E26"/>
    <w:rsid w:val="00D62A03"/>
    <w:rsid w:val="00D74913"/>
    <w:rsid w:val="00D74B5C"/>
    <w:rsid w:val="00D76AA3"/>
    <w:rsid w:val="00D856D2"/>
    <w:rsid w:val="00D9588D"/>
    <w:rsid w:val="00D96525"/>
    <w:rsid w:val="00DA09BF"/>
    <w:rsid w:val="00DB0E83"/>
    <w:rsid w:val="00DB2B2D"/>
    <w:rsid w:val="00DB66F7"/>
    <w:rsid w:val="00DB7B25"/>
    <w:rsid w:val="00DC26BB"/>
    <w:rsid w:val="00DD3F4C"/>
    <w:rsid w:val="00DE15E6"/>
    <w:rsid w:val="00DE71DA"/>
    <w:rsid w:val="00DF1096"/>
    <w:rsid w:val="00DF21A9"/>
    <w:rsid w:val="00E02C64"/>
    <w:rsid w:val="00E03675"/>
    <w:rsid w:val="00E05330"/>
    <w:rsid w:val="00E11F36"/>
    <w:rsid w:val="00E14260"/>
    <w:rsid w:val="00E14415"/>
    <w:rsid w:val="00E20FED"/>
    <w:rsid w:val="00E3256F"/>
    <w:rsid w:val="00E3290A"/>
    <w:rsid w:val="00E34B0E"/>
    <w:rsid w:val="00E35F3A"/>
    <w:rsid w:val="00E36E8A"/>
    <w:rsid w:val="00E371C9"/>
    <w:rsid w:val="00E378A4"/>
    <w:rsid w:val="00E50799"/>
    <w:rsid w:val="00E57905"/>
    <w:rsid w:val="00E57DC4"/>
    <w:rsid w:val="00E61B52"/>
    <w:rsid w:val="00E625CC"/>
    <w:rsid w:val="00E66390"/>
    <w:rsid w:val="00E71A28"/>
    <w:rsid w:val="00E7626A"/>
    <w:rsid w:val="00E840AC"/>
    <w:rsid w:val="00E87F73"/>
    <w:rsid w:val="00E962A4"/>
    <w:rsid w:val="00E977A2"/>
    <w:rsid w:val="00E97B54"/>
    <w:rsid w:val="00EA0926"/>
    <w:rsid w:val="00EA2651"/>
    <w:rsid w:val="00EB1C40"/>
    <w:rsid w:val="00EB6881"/>
    <w:rsid w:val="00EC4F2A"/>
    <w:rsid w:val="00ED6A30"/>
    <w:rsid w:val="00EE224D"/>
    <w:rsid w:val="00EE664C"/>
    <w:rsid w:val="00EF541E"/>
    <w:rsid w:val="00EF70FB"/>
    <w:rsid w:val="00F109F2"/>
    <w:rsid w:val="00F10BF1"/>
    <w:rsid w:val="00F860FF"/>
    <w:rsid w:val="00F86BE2"/>
    <w:rsid w:val="00F94629"/>
    <w:rsid w:val="00F95194"/>
    <w:rsid w:val="00FA50A0"/>
    <w:rsid w:val="00FB0668"/>
    <w:rsid w:val="00FC0E42"/>
    <w:rsid w:val="00FC3326"/>
    <w:rsid w:val="00FC47A7"/>
    <w:rsid w:val="00FD2BD6"/>
    <w:rsid w:val="00FD302F"/>
    <w:rsid w:val="00FD3138"/>
    <w:rsid w:val="00FE3A60"/>
    <w:rsid w:val="00FF1AAC"/>
    <w:rsid w:val="00FF33E2"/>
    <w:rsid w:val="00FF58FD"/>
    <w:rsid w:val="03DC7AC5"/>
    <w:rsid w:val="056B22B5"/>
    <w:rsid w:val="0FC77164"/>
    <w:rsid w:val="19D9D5BF"/>
    <w:rsid w:val="26D00E99"/>
    <w:rsid w:val="285002C2"/>
    <w:rsid w:val="34F3D95C"/>
    <w:rsid w:val="352B275F"/>
    <w:rsid w:val="5687F998"/>
    <w:rsid w:val="5F3C33F7"/>
    <w:rsid w:val="643D18CF"/>
    <w:rsid w:val="653D50CF"/>
    <w:rsid w:val="66EACB38"/>
    <w:rsid w:val="670A20E6"/>
    <w:rsid w:val="67EC7969"/>
    <w:rsid w:val="79EBF9C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15778">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2.xml><?xml version="1.0" encoding="utf-8"?>
<ds:datastoreItem xmlns:ds="http://schemas.openxmlformats.org/officeDocument/2006/customXml" ds:itemID="{3AB8A480-744D-4503-9430-B46A4EF877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4F6AA6-B2C1-4C51-949F-ED81C6771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C99005-5EFE-42A7-A907-7FCCCAC7E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38</Pages>
  <Words>16034</Words>
  <Characters>96209</Characters>
  <Application>Microsoft Office Word</Application>
  <DocSecurity>8</DocSecurity>
  <Lines>801</Lines>
  <Paragraphs>224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27</cp:revision>
  <cp:lastPrinted>2025-02-11T09:33:00Z</cp:lastPrinted>
  <dcterms:created xsi:type="dcterms:W3CDTF">2025-02-10T13:10:00Z</dcterms:created>
  <dcterms:modified xsi:type="dcterms:W3CDTF">2025-04-15T08:47:00Z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66300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2025-02-10T13:10:29Z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4bc086f5-f7d9-4020-8333-efe55897bb70</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